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DE5" w:rsidRPr="00351CCB" w:rsidRDefault="005F1EBB" w:rsidP="001B0DE5">
      <w:pPr>
        <w:spacing w:after="240"/>
        <w:jc w:val="center"/>
        <w:rPr>
          <w:rFonts w:ascii="Arial" w:hAnsi="Arial" w:cs="Arial"/>
          <w:b/>
          <w:caps/>
        </w:rPr>
      </w:pPr>
      <w:r w:rsidRPr="00351CCB">
        <w:rPr>
          <w:rFonts w:ascii="Arial" w:hAnsi="Arial" w:cs="Arial"/>
          <w:noProof/>
          <w:szCs w:val="20"/>
        </w:rPr>
        <w:drawing>
          <wp:anchor distT="0" distB="0" distL="114300" distR="114300" simplePos="0" relativeHeight="251658752" behindDoc="1" locked="1" layoutInCell="1" allowOverlap="1">
            <wp:simplePos x="0" y="0"/>
            <wp:positionH relativeFrom="column">
              <wp:posOffset>25702</wp:posOffset>
            </wp:positionH>
            <wp:positionV relativeFrom="page">
              <wp:posOffset>375504</wp:posOffset>
            </wp:positionV>
            <wp:extent cx="566928" cy="566928"/>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6928" cy="566928"/>
                    </a:xfrm>
                    <a:prstGeom prst="rect">
                      <a:avLst/>
                    </a:prstGeom>
                  </pic:spPr>
                </pic:pic>
              </a:graphicData>
            </a:graphic>
            <wp14:sizeRelH relativeFrom="margin">
              <wp14:pctWidth>0</wp14:pctWidth>
            </wp14:sizeRelH>
            <wp14:sizeRelV relativeFrom="margin">
              <wp14:pctHeight>0</wp14:pctHeight>
            </wp14:sizeRelV>
          </wp:anchor>
        </w:drawing>
      </w:r>
      <w:r w:rsidR="001B0DE5" w:rsidRPr="00351CCB">
        <w:rPr>
          <w:rFonts w:ascii="Arial" w:hAnsi="Arial" w:cs="Arial"/>
          <w:b/>
          <w:caps/>
        </w:rPr>
        <w:t xml:space="preserve">Exhibit </w:t>
      </w:r>
      <w:r w:rsidRPr="00351CCB">
        <w:rPr>
          <w:rFonts w:ascii="Arial" w:hAnsi="Arial" w:cs="Arial"/>
          <w:b/>
          <w:caps/>
        </w:rPr>
        <w:fldChar w:fldCharType="begin">
          <w:ffData>
            <w:name w:val="Text1"/>
            <w:enabled/>
            <w:calcOnExit w:val="0"/>
            <w:textInput/>
          </w:ffData>
        </w:fldChar>
      </w:r>
      <w:bookmarkStart w:id="0" w:name="Text1"/>
      <w:r w:rsidRPr="00351CCB">
        <w:rPr>
          <w:rFonts w:ascii="Arial" w:hAnsi="Arial" w:cs="Arial"/>
          <w:b/>
          <w:caps/>
        </w:rPr>
        <w:instrText xml:space="preserve"> FORMTEXT </w:instrText>
      </w:r>
      <w:r w:rsidRPr="00351CCB">
        <w:rPr>
          <w:rFonts w:ascii="Arial" w:hAnsi="Arial" w:cs="Arial"/>
          <w:b/>
          <w:caps/>
        </w:rPr>
      </w:r>
      <w:r w:rsidRPr="00351CCB">
        <w:rPr>
          <w:rFonts w:ascii="Arial" w:hAnsi="Arial" w:cs="Arial"/>
          <w:b/>
          <w:caps/>
        </w:rPr>
        <w:fldChar w:fldCharType="separate"/>
      </w:r>
      <w:r w:rsidRPr="00351CCB">
        <w:rPr>
          <w:rFonts w:ascii="Arial" w:hAnsi="Arial" w:cs="Arial"/>
          <w:b/>
          <w:caps/>
          <w:noProof/>
        </w:rPr>
        <w:t> </w:t>
      </w:r>
      <w:r w:rsidRPr="00351CCB">
        <w:rPr>
          <w:rFonts w:ascii="Arial" w:hAnsi="Arial" w:cs="Arial"/>
          <w:b/>
          <w:caps/>
          <w:noProof/>
        </w:rPr>
        <w:t> </w:t>
      </w:r>
      <w:r w:rsidRPr="00351CCB">
        <w:rPr>
          <w:rFonts w:ascii="Arial" w:hAnsi="Arial" w:cs="Arial"/>
          <w:b/>
          <w:caps/>
          <w:noProof/>
        </w:rPr>
        <w:t> </w:t>
      </w:r>
      <w:r w:rsidRPr="00351CCB">
        <w:rPr>
          <w:rFonts w:ascii="Arial" w:hAnsi="Arial" w:cs="Arial"/>
          <w:b/>
          <w:caps/>
          <w:noProof/>
        </w:rPr>
        <w:t> </w:t>
      </w:r>
      <w:r w:rsidRPr="00351CCB">
        <w:rPr>
          <w:rFonts w:ascii="Arial" w:hAnsi="Arial" w:cs="Arial"/>
          <w:b/>
          <w:caps/>
          <w:noProof/>
        </w:rPr>
        <w:t> </w:t>
      </w:r>
      <w:r w:rsidRPr="00351CCB">
        <w:rPr>
          <w:rFonts w:ascii="Arial" w:hAnsi="Arial" w:cs="Arial"/>
          <w:b/>
          <w:caps/>
        </w:rPr>
        <w:fldChar w:fldCharType="end"/>
      </w:r>
      <w:bookmarkEnd w:id="0"/>
    </w:p>
    <w:p w:rsidR="001B0DE5" w:rsidRPr="00351CCB" w:rsidRDefault="001B0DE5" w:rsidP="006A1534">
      <w:pPr>
        <w:spacing w:after="360"/>
        <w:jc w:val="center"/>
        <w:rPr>
          <w:rFonts w:ascii="Arial" w:hAnsi="Arial" w:cs="Arial"/>
          <w:b/>
          <w:sz w:val="22"/>
          <w:szCs w:val="22"/>
        </w:rPr>
      </w:pPr>
      <w:r w:rsidRPr="00351CCB">
        <w:rPr>
          <w:rFonts w:ascii="Arial" w:hAnsi="Arial" w:cs="Arial"/>
          <w:b/>
          <w:sz w:val="22"/>
          <w:szCs w:val="22"/>
        </w:rPr>
        <w:t xml:space="preserve">Federal </w:t>
      </w:r>
      <w:r w:rsidR="00161403">
        <w:rPr>
          <w:rFonts w:ascii="Arial" w:hAnsi="Arial" w:cs="Arial"/>
          <w:b/>
          <w:sz w:val="22"/>
          <w:szCs w:val="22"/>
        </w:rPr>
        <w:t>Terms and Conditions</w:t>
      </w:r>
    </w:p>
    <w:p w:rsidR="001B0DE5" w:rsidRPr="00351CCB" w:rsidRDefault="001B0DE5" w:rsidP="006A1534">
      <w:pPr>
        <w:spacing w:after="120"/>
        <w:jc w:val="both"/>
        <w:rPr>
          <w:rFonts w:ascii="Arial" w:hAnsi="Arial" w:cs="Arial"/>
          <w:sz w:val="20"/>
          <w:szCs w:val="20"/>
        </w:rPr>
      </w:pPr>
      <w:r w:rsidRPr="00351CCB">
        <w:rPr>
          <w:rFonts w:ascii="Arial" w:hAnsi="Arial" w:cs="Arial"/>
          <w:sz w:val="20"/>
          <w:szCs w:val="20"/>
        </w:rPr>
        <w:t xml:space="preserve">The following terms apply to the </w:t>
      </w:r>
      <w:r w:rsidR="006B040A">
        <w:rPr>
          <w:rFonts w:ascii="Arial" w:hAnsi="Arial" w:cs="Arial"/>
          <w:sz w:val="20"/>
          <w:szCs w:val="20"/>
        </w:rPr>
        <w:t>Contract</w:t>
      </w:r>
      <w:r w:rsidRPr="00351CCB">
        <w:rPr>
          <w:rFonts w:ascii="Arial" w:hAnsi="Arial" w:cs="Arial"/>
          <w:sz w:val="20"/>
          <w:szCs w:val="20"/>
        </w:rPr>
        <w:t xml:space="preserve"> because federal funds under </w:t>
      </w:r>
      <w:r w:rsidRPr="00351CCB">
        <w:rPr>
          <w:rFonts w:ascii="Arial" w:hAnsi="Arial" w:cs="Arial"/>
          <w:sz w:val="20"/>
          <w:szCs w:val="20"/>
          <w:highlight w:val="lightGray"/>
        </w:rPr>
        <w:t>[</w:t>
      </w:r>
      <w:r w:rsidR="00736763">
        <w:rPr>
          <w:rFonts w:ascii="Arial" w:hAnsi="Arial" w:cs="Arial"/>
          <w:sz w:val="20"/>
          <w:szCs w:val="20"/>
          <w:highlight w:val="lightGray"/>
        </w:rPr>
        <w:fldChar w:fldCharType="begin">
          <w:ffData>
            <w:name w:val="Text5"/>
            <w:enabled/>
            <w:calcOnExit w:val="0"/>
            <w:textInput>
              <w:default w:val="insert federal funding source]"/>
            </w:textInput>
          </w:ffData>
        </w:fldChar>
      </w:r>
      <w:bookmarkStart w:id="1" w:name="Text5"/>
      <w:r w:rsidR="00736763">
        <w:rPr>
          <w:rFonts w:ascii="Arial" w:hAnsi="Arial" w:cs="Arial"/>
          <w:sz w:val="20"/>
          <w:szCs w:val="20"/>
          <w:highlight w:val="lightGray"/>
        </w:rPr>
        <w:instrText xml:space="preserve"> FORMTEXT </w:instrText>
      </w:r>
      <w:r w:rsidR="00736763">
        <w:rPr>
          <w:rFonts w:ascii="Arial" w:hAnsi="Arial" w:cs="Arial"/>
          <w:sz w:val="20"/>
          <w:szCs w:val="20"/>
          <w:highlight w:val="lightGray"/>
        </w:rPr>
      </w:r>
      <w:r w:rsidR="00736763">
        <w:rPr>
          <w:rFonts w:ascii="Arial" w:hAnsi="Arial" w:cs="Arial"/>
          <w:sz w:val="20"/>
          <w:szCs w:val="20"/>
          <w:highlight w:val="lightGray"/>
        </w:rPr>
        <w:fldChar w:fldCharType="separate"/>
      </w:r>
      <w:r w:rsidR="00736763">
        <w:rPr>
          <w:rFonts w:ascii="Arial" w:hAnsi="Arial" w:cs="Arial"/>
          <w:noProof/>
          <w:sz w:val="20"/>
          <w:szCs w:val="20"/>
          <w:highlight w:val="lightGray"/>
        </w:rPr>
        <w:t>insert federal funding source]</w:t>
      </w:r>
      <w:r w:rsidR="00736763">
        <w:rPr>
          <w:rFonts w:ascii="Arial" w:hAnsi="Arial" w:cs="Arial"/>
          <w:sz w:val="20"/>
          <w:szCs w:val="20"/>
          <w:highlight w:val="lightGray"/>
        </w:rPr>
        <w:fldChar w:fldCharType="end"/>
      </w:r>
      <w:bookmarkEnd w:id="1"/>
      <w:r w:rsidR="00736763">
        <w:rPr>
          <w:rFonts w:ascii="Arial" w:hAnsi="Arial" w:cs="Arial"/>
          <w:sz w:val="20"/>
          <w:szCs w:val="20"/>
        </w:rPr>
        <w:t xml:space="preserve"> </w:t>
      </w:r>
      <w:r w:rsidRPr="00351CCB">
        <w:rPr>
          <w:rFonts w:ascii="Arial" w:hAnsi="Arial" w:cs="Arial"/>
          <w:sz w:val="20"/>
          <w:szCs w:val="20"/>
        </w:rPr>
        <w:t xml:space="preserve">will be used to pay for at least part of the project.  If any term in this Exhibit </w:t>
      </w:r>
      <w:r w:rsidR="005F1EBB" w:rsidRPr="00351CCB">
        <w:rPr>
          <w:rFonts w:ascii="Arial" w:hAnsi="Arial" w:cs="Arial"/>
          <w:sz w:val="20"/>
          <w:szCs w:val="20"/>
          <w:highlight w:val="lightGray"/>
        </w:rPr>
        <w:fldChar w:fldCharType="begin">
          <w:ffData>
            <w:name w:val="Text2"/>
            <w:enabled/>
            <w:calcOnExit w:val="0"/>
            <w:textInput/>
          </w:ffData>
        </w:fldChar>
      </w:r>
      <w:bookmarkStart w:id="2" w:name="Text2"/>
      <w:r w:rsidR="005F1EBB" w:rsidRPr="00351CCB">
        <w:rPr>
          <w:rFonts w:ascii="Arial" w:hAnsi="Arial" w:cs="Arial"/>
          <w:sz w:val="20"/>
          <w:szCs w:val="20"/>
          <w:highlight w:val="lightGray"/>
        </w:rPr>
        <w:instrText xml:space="preserve"> FORMTEXT </w:instrText>
      </w:r>
      <w:r w:rsidR="005F1EBB" w:rsidRPr="00351CCB">
        <w:rPr>
          <w:rFonts w:ascii="Arial" w:hAnsi="Arial" w:cs="Arial"/>
          <w:sz w:val="20"/>
          <w:szCs w:val="20"/>
          <w:highlight w:val="lightGray"/>
        </w:rPr>
      </w:r>
      <w:r w:rsidR="005F1EBB" w:rsidRPr="00351CCB">
        <w:rPr>
          <w:rFonts w:ascii="Arial" w:hAnsi="Arial" w:cs="Arial"/>
          <w:sz w:val="20"/>
          <w:szCs w:val="20"/>
          <w:highlight w:val="lightGray"/>
        </w:rPr>
        <w:fldChar w:fldCharType="separate"/>
      </w:r>
      <w:bookmarkStart w:id="3" w:name="_GoBack"/>
      <w:r w:rsidR="005F1EBB" w:rsidRPr="00351CCB">
        <w:rPr>
          <w:rFonts w:ascii="Arial" w:hAnsi="Arial" w:cs="Arial"/>
          <w:noProof/>
          <w:sz w:val="20"/>
          <w:szCs w:val="20"/>
          <w:highlight w:val="lightGray"/>
        </w:rPr>
        <w:t> </w:t>
      </w:r>
      <w:r w:rsidR="005F1EBB" w:rsidRPr="00351CCB">
        <w:rPr>
          <w:rFonts w:ascii="Arial" w:hAnsi="Arial" w:cs="Arial"/>
          <w:noProof/>
          <w:sz w:val="20"/>
          <w:szCs w:val="20"/>
          <w:highlight w:val="lightGray"/>
        </w:rPr>
        <w:t> </w:t>
      </w:r>
      <w:r w:rsidR="005F1EBB" w:rsidRPr="00351CCB">
        <w:rPr>
          <w:rFonts w:ascii="Arial" w:hAnsi="Arial" w:cs="Arial"/>
          <w:noProof/>
          <w:sz w:val="20"/>
          <w:szCs w:val="20"/>
          <w:highlight w:val="lightGray"/>
        </w:rPr>
        <w:t> </w:t>
      </w:r>
      <w:r w:rsidR="005F1EBB" w:rsidRPr="00351CCB">
        <w:rPr>
          <w:rFonts w:ascii="Arial" w:hAnsi="Arial" w:cs="Arial"/>
          <w:noProof/>
          <w:sz w:val="20"/>
          <w:szCs w:val="20"/>
          <w:highlight w:val="lightGray"/>
        </w:rPr>
        <w:t> </w:t>
      </w:r>
      <w:r w:rsidR="005F1EBB" w:rsidRPr="00351CCB">
        <w:rPr>
          <w:rFonts w:ascii="Arial" w:hAnsi="Arial" w:cs="Arial"/>
          <w:noProof/>
          <w:sz w:val="20"/>
          <w:szCs w:val="20"/>
          <w:highlight w:val="lightGray"/>
        </w:rPr>
        <w:t> </w:t>
      </w:r>
      <w:bookmarkEnd w:id="3"/>
      <w:r w:rsidR="005F1EBB" w:rsidRPr="00351CCB">
        <w:rPr>
          <w:rFonts w:ascii="Arial" w:hAnsi="Arial" w:cs="Arial"/>
          <w:sz w:val="20"/>
          <w:szCs w:val="20"/>
          <w:highlight w:val="lightGray"/>
        </w:rPr>
        <w:fldChar w:fldCharType="end"/>
      </w:r>
      <w:bookmarkEnd w:id="2"/>
      <w:r w:rsidRPr="00351CCB">
        <w:rPr>
          <w:rFonts w:ascii="Arial" w:hAnsi="Arial" w:cs="Arial"/>
          <w:sz w:val="20"/>
          <w:szCs w:val="20"/>
        </w:rPr>
        <w:t xml:space="preserve"> conflicts with any term in the body of the </w:t>
      </w:r>
      <w:r w:rsidR="006B040A">
        <w:rPr>
          <w:rFonts w:ascii="Arial" w:hAnsi="Arial" w:cs="Arial"/>
          <w:sz w:val="20"/>
          <w:szCs w:val="20"/>
        </w:rPr>
        <w:t>Contract</w:t>
      </w:r>
      <w:r w:rsidRPr="00351CCB">
        <w:rPr>
          <w:rFonts w:ascii="Arial" w:hAnsi="Arial" w:cs="Arial"/>
          <w:sz w:val="20"/>
          <w:szCs w:val="20"/>
        </w:rPr>
        <w:t xml:space="preserve">, this Exhibit </w:t>
      </w:r>
      <w:r w:rsidR="005F1EBB" w:rsidRPr="00351CCB">
        <w:rPr>
          <w:rFonts w:ascii="Arial" w:hAnsi="Arial" w:cs="Arial"/>
          <w:sz w:val="20"/>
          <w:szCs w:val="20"/>
          <w:highlight w:val="lightGray"/>
        </w:rPr>
        <w:fldChar w:fldCharType="begin">
          <w:ffData>
            <w:name w:val="Text3"/>
            <w:enabled/>
            <w:calcOnExit w:val="0"/>
            <w:textInput/>
          </w:ffData>
        </w:fldChar>
      </w:r>
      <w:bookmarkStart w:id="4" w:name="Text3"/>
      <w:r w:rsidR="005F1EBB" w:rsidRPr="00351CCB">
        <w:rPr>
          <w:rFonts w:ascii="Arial" w:hAnsi="Arial" w:cs="Arial"/>
          <w:sz w:val="20"/>
          <w:szCs w:val="20"/>
          <w:highlight w:val="lightGray"/>
        </w:rPr>
        <w:instrText xml:space="preserve"> FORMTEXT </w:instrText>
      </w:r>
      <w:r w:rsidR="005F1EBB" w:rsidRPr="00351CCB">
        <w:rPr>
          <w:rFonts w:ascii="Arial" w:hAnsi="Arial" w:cs="Arial"/>
          <w:sz w:val="20"/>
          <w:szCs w:val="20"/>
          <w:highlight w:val="lightGray"/>
        </w:rPr>
      </w:r>
      <w:r w:rsidR="005F1EBB" w:rsidRPr="00351CCB">
        <w:rPr>
          <w:rFonts w:ascii="Arial" w:hAnsi="Arial" w:cs="Arial"/>
          <w:sz w:val="20"/>
          <w:szCs w:val="20"/>
          <w:highlight w:val="lightGray"/>
        </w:rPr>
        <w:fldChar w:fldCharType="separate"/>
      </w:r>
      <w:r w:rsidR="005F1EBB" w:rsidRPr="00351CCB">
        <w:rPr>
          <w:rFonts w:ascii="Arial" w:hAnsi="Arial" w:cs="Arial"/>
          <w:noProof/>
          <w:sz w:val="20"/>
          <w:szCs w:val="20"/>
          <w:highlight w:val="lightGray"/>
        </w:rPr>
        <w:t> </w:t>
      </w:r>
      <w:r w:rsidR="005F1EBB" w:rsidRPr="00351CCB">
        <w:rPr>
          <w:rFonts w:ascii="Arial" w:hAnsi="Arial" w:cs="Arial"/>
          <w:noProof/>
          <w:sz w:val="20"/>
          <w:szCs w:val="20"/>
          <w:highlight w:val="lightGray"/>
        </w:rPr>
        <w:t> </w:t>
      </w:r>
      <w:r w:rsidR="005F1EBB" w:rsidRPr="00351CCB">
        <w:rPr>
          <w:rFonts w:ascii="Arial" w:hAnsi="Arial" w:cs="Arial"/>
          <w:noProof/>
          <w:sz w:val="20"/>
          <w:szCs w:val="20"/>
          <w:highlight w:val="lightGray"/>
        </w:rPr>
        <w:t> </w:t>
      </w:r>
      <w:r w:rsidR="005F1EBB" w:rsidRPr="00351CCB">
        <w:rPr>
          <w:rFonts w:ascii="Arial" w:hAnsi="Arial" w:cs="Arial"/>
          <w:noProof/>
          <w:sz w:val="20"/>
          <w:szCs w:val="20"/>
          <w:highlight w:val="lightGray"/>
        </w:rPr>
        <w:t> </w:t>
      </w:r>
      <w:r w:rsidR="005F1EBB" w:rsidRPr="00351CCB">
        <w:rPr>
          <w:rFonts w:ascii="Arial" w:hAnsi="Arial" w:cs="Arial"/>
          <w:noProof/>
          <w:sz w:val="20"/>
          <w:szCs w:val="20"/>
          <w:highlight w:val="lightGray"/>
        </w:rPr>
        <w:t> </w:t>
      </w:r>
      <w:r w:rsidR="005F1EBB" w:rsidRPr="00351CCB">
        <w:rPr>
          <w:rFonts w:ascii="Arial" w:hAnsi="Arial" w:cs="Arial"/>
          <w:sz w:val="20"/>
          <w:szCs w:val="20"/>
          <w:highlight w:val="lightGray"/>
        </w:rPr>
        <w:fldChar w:fldCharType="end"/>
      </w:r>
      <w:bookmarkEnd w:id="4"/>
      <w:r w:rsidRPr="00351CCB">
        <w:rPr>
          <w:rFonts w:ascii="Arial" w:hAnsi="Arial" w:cs="Arial"/>
          <w:sz w:val="20"/>
          <w:szCs w:val="20"/>
        </w:rPr>
        <w:t xml:space="preserve"> will control.</w:t>
      </w:r>
    </w:p>
    <w:p w:rsidR="001B0DE5" w:rsidRPr="00351CCB" w:rsidRDefault="001B0DE5" w:rsidP="006A1534">
      <w:pPr>
        <w:pStyle w:val="LegalH5L1"/>
        <w:tabs>
          <w:tab w:val="clear" w:pos="720"/>
          <w:tab w:val="num" w:pos="360"/>
        </w:tabs>
        <w:spacing w:after="120"/>
        <w:ind w:left="360" w:hanging="360"/>
        <w:jc w:val="both"/>
        <w:rPr>
          <w:rFonts w:ascii="Arial" w:hAnsi="Arial" w:cs="Arial"/>
          <w:sz w:val="20"/>
        </w:rPr>
      </w:pPr>
      <w:r w:rsidRPr="00351CCB">
        <w:rPr>
          <w:rFonts w:ascii="Arial" w:hAnsi="Arial" w:cs="Arial"/>
          <w:b/>
          <w:sz w:val="20"/>
        </w:rPr>
        <w:t xml:space="preserve">Remedies.  </w:t>
      </w:r>
      <w:r w:rsidRPr="00351CCB">
        <w:rPr>
          <w:rFonts w:ascii="Arial" w:hAnsi="Arial" w:cs="Arial"/>
          <w:sz w:val="20"/>
        </w:rPr>
        <w:t xml:space="preserve">In addition to the remedies explicitly set forth in the body of the </w:t>
      </w:r>
      <w:r w:rsidR="006B040A">
        <w:rPr>
          <w:rFonts w:ascii="Arial" w:hAnsi="Arial" w:cs="Arial"/>
          <w:sz w:val="20"/>
        </w:rPr>
        <w:t>Contract</w:t>
      </w:r>
      <w:r w:rsidRPr="00351CCB">
        <w:rPr>
          <w:rFonts w:ascii="Arial" w:hAnsi="Arial" w:cs="Arial"/>
          <w:sz w:val="20"/>
        </w:rPr>
        <w:t xml:space="preserve">, </w:t>
      </w:r>
      <w:r w:rsidR="006A1534">
        <w:rPr>
          <w:rFonts w:ascii="Arial" w:hAnsi="Arial" w:cs="Arial"/>
          <w:sz w:val="20"/>
        </w:rPr>
        <w:t>District</w:t>
      </w:r>
      <w:r w:rsidRPr="00351CCB">
        <w:rPr>
          <w:rFonts w:ascii="Arial" w:hAnsi="Arial" w:cs="Arial"/>
          <w:sz w:val="20"/>
        </w:rPr>
        <w:t xml:space="preserve"> may exercise all rights or remedies available at law, in equity, or otherwise in the event of any breach by Contractor.</w:t>
      </w:r>
    </w:p>
    <w:p w:rsidR="001B0DE5" w:rsidRPr="00351CCB" w:rsidRDefault="001B0DE5" w:rsidP="006A1534">
      <w:pPr>
        <w:pStyle w:val="LegalH5L1"/>
        <w:tabs>
          <w:tab w:val="clear" w:pos="720"/>
          <w:tab w:val="num" w:pos="360"/>
        </w:tabs>
        <w:spacing w:after="120"/>
        <w:ind w:left="360" w:hanging="360"/>
        <w:jc w:val="both"/>
        <w:rPr>
          <w:rFonts w:ascii="Arial" w:hAnsi="Arial" w:cs="Arial"/>
          <w:b/>
          <w:sz w:val="20"/>
        </w:rPr>
      </w:pPr>
      <w:r w:rsidRPr="00351CCB">
        <w:rPr>
          <w:rFonts w:ascii="Arial" w:hAnsi="Arial" w:cs="Arial"/>
          <w:b/>
          <w:sz w:val="20"/>
        </w:rPr>
        <w:t xml:space="preserve">Termination.  </w:t>
      </w:r>
      <w:r w:rsidR="006A1534">
        <w:rPr>
          <w:rFonts w:ascii="Arial" w:hAnsi="Arial" w:cs="Arial"/>
          <w:sz w:val="20"/>
        </w:rPr>
        <w:t>District</w:t>
      </w:r>
      <w:r w:rsidR="006A1534" w:rsidRPr="00351CCB">
        <w:rPr>
          <w:rFonts w:ascii="Arial" w:hAnsi="Arial" w:cs="Arial"/>
          <w:sz w:val="20"/>
        </w:rPr>
        <w:t xml:space="preserve"> </w:t>
      </w:r>
      <w:r w:rsidRPr="00351CCB">
        <w:rPr>
          <w:rFonts w:ascii="Arial" w:hAnsi="Arial" w:cs="Arial"/>
          <w:sz w:val="20"/>
        </w:rPr>
        <w:t xml:space="preserve">may terminate the </w:t>
      </w:r>
      <w:r w:rsidR="006B040A">
        <w:rPr>
          <w:rFonts w:ascii="Arial" w:hAnsi="Arial" w:cs="Arial"/>
          <w:sz w:val="20"/>
        </w:rPr>
        <w:t>Contract</w:t>
      </w:r>
      <w:r w:rsidR="006B040A" w:rsidRPr="00351CCB">
        <w:rPr>
          <w:rFonts w:ascii="Arial" w:hAnsi="Arial" w:cs="Arial"/>
          <w:sz w:val="20"/>
        </w:rPr>
        <w:t xml:space="preserve"> </w:t>
      </w:r>
      <w:r w:rsidRPr="00351CCB">
        <w:rPr>
          <w:rFonts w:ascii="Arial" w:hAnsi="Arial" w:cs="Arial"/>
          <w:sz w:val="20"/>
        </w:rPr>
        <w:t xml:space="preserve">for cause or for convenience as set forth in the body of the </w:t>
      </w:r>
      <w:r w:rsidR="006B040A">
        <w:rPr>
          <w:rFonts w:ascii="Arial" w:hAnsi="Arial" w:cs="Arial"/>
          <w:sz w:val="20"/>
        </w:rPr>
        <w:t>Contract</w:t>
      </w:r>
      <w:r w:rsidRPr="00351CCB">
        <w:rPr>
          <w:rFonts w:ascii="Arial" w:hAnsi="Arial" w:cs="Arial"/>
          <w:sz w:val="20"/>
        </w:rPr>
        <w:t>.</w:t>
      </w:r>
    </w:p>
    <w:p w:rsidR="001B0DE5" w:rsidRPr="00351CCB" w:rsidRDefault="001B0DE5" w:rsidP="006A1534">
      <w:pPr>
        <w:pStyle w:val="LegalH5L1"/>
        <w:tabs>
          <w:tab w:val="clear" w:pos="720"/>
          <w:tab w:val="num" w:pos="360"/>
        </w:tabs>
        <w:spacing w:after="120"/>
        <w:ind w:left="360" w:hanging="360"/>
        <w:jc w:val="both"/>
        <w:rPr>
          <w:rFonts w:ascii="Arial" w:hAnsi="Arial" w:cs="Arial"/>
          <w:sz w:val="20"/>
        </w:rPr>
      </w:pPr>
      <w:r w:rsidRPr="00351CCB">
        <w:rPr>
          <w:rFonts w:ascii="Arial" w:hAnsi="Arial" w:cs="Arial"/>
          <w:b/>
          <w:sz w:val="20"/>
        </w:rPr>
        <w:t>Nondiscrimination</w:t>
      </w:r>
      <w:r w:rsidR="00ED0DD7">
        <w:rPr>
          <w:rFonts w:ascii="Arial" w:hAnsi="Arial" w:cs="Arial"/>
          <w:b/>
          <w:sz w:val="20"/>
        </w:rPr>
        <w:t>; Equal Employment Opportunity</w:t>
      </w:r>
      <w:r w:rsidRPr="00351CCB">
        <w:rPr>
          <w:rFonts w:ascii="Arial" w:hAnsi="Arial" w:cs="Arial"/>
          <w:b/>
          <w:sz w:val="20"/>
        </w:rPr>
        <w:t xml:space="preserve">.  </w:t>
      </w:r>
      <w:r w:rsidRPr="00351CCB">
        <w:rPr>
          <w:rFonts w:ascii="Arial" w:hAnsi="Arial" w:cs="Arial"/>
          <w:sz w:val="20"/>
        </w:rPr>
        <w:t xml:space="preserve">If the </w:t>
      </w:r>
      <w:r w:rsidR="006B040A">
        <w:rPr>
          <w:rFonts w:ascii="Arial" w:hAnsi="Arial" w:cs="Arial"/>
          <w:sz w:val="20"/>
        </w:rPr>
        <w:t>Contract</w:t>
      </w:r>
      <w:r w:rsidR="006B040A" w:rsidRPr="00351CCB">
        <w:rPr>
          <w:rFonts w:ascii="Arial" w:hAnsi="Arial" w:cs="Arial"/>
          <w:sz w:val="20"/>
        </w:rPr>
        <w:t xml:space="preserve"> </w:t>
      </w:r>
      <w:r w:rsidRPr="00351CCB">
        <w:rPr>
          <w:rFonts w:ascii="Arial" w:hAnsi="Arial" w:cs="Arial"/>
          <w:sz w:val="20"/>
        </w:rPr>
        <w:t>involves “construction work” as defined in 41 CFR Part 60-1.3, then Contractor must:</w:t>
      </w:r>
    </w:p>
    <w:p w:rsidR="001B0DE5" w:rsidRPr="00351CCB" w:rsidRDefault="001B0DE5" w:rsidP="006A1534">
      <w:pPr>
        <w:pStyle w:val="LegalH5L2"/>
        <w:tabs>
          <w:tab w:val="num" w:pos="720"/>
        </w:tabs>
        <w:spacing w:after="120"/>
        <w:ind w:left="720" w:hanging="360"/>
        <w:jc w:val="both"/>
        <w:rPr>
          <w:rFonts w:ascii="Arial" w:hAnsi="Arial" w:cs="Arial"/>
          <w:sz w:val="20"/>
        </w:rPr>
      </w:pPr>
      <w:r w:rsidRPr="00351CCB">
        <w:rPr>
          <w:rFonts w:ascii="Arial" w:hAnsi="Arial" w:cs="Arial"/>
          <w:sz w:val="20"/>
        </w:rPr>
        <w:t>Not discriminate against any </w:t>
      </w:r>
      <w:hyperlink r:id="rId9" w:tooltip="employee" w:history="1">
        <w:r w:rsidRPr="00351CCB">
          <w:rPr>
            <w:rStyle w:val="Hyperlink"/>
            <w:rFonts w:ascii="Arial" w:hAnsi="Arial" w:cs="Arial"/>
            <w:color w:val="auto"/>
            <w:sz w:val="20"/>
            <w:u w:val="none"/>
          </w:rPr>
          <w:t>employee</w:t>
        </w:r>
      </w:hyperlink>
      <w:r w:rsidRPr="00351CCB">
        <w:rPr>
          <w:rFonts w:ascii="Arial" w:hAnsi="Arial" w:cs="Arial"/>
          <w:sz w:val="20"/>
        </w:rPr>
        <w:t> or </w:t>
      </w:r>
      <w:hyperlink r:id="rId10" w:tooltip="applicant" w:history="1">
        <w:r w:rsidRPr="00351CCB">
          <w:rPr>
            <w:rStyle w:val="Hyperlink"/>
            <w:rFonts w:ascii="Arial" w:hAnsi="Arial" w:cs="Arial"/>
            <w:color w:val="auto"/>
            <w:sz w:val="20"/>
            <w:u w:val="none"/>
          </w:rPr>
          <w:t>applicant</w:t>
        </w:r>
      </w:hyperlink>
      <w:r w:rsidRPr="00351CCB">
        <w:rPr>
          <w:rFonts w:ascii="Arial" w:hAnsi="Arial" w:cs="Arial"/>
          <w:sz w:val="20"/>
        </w:rPr>
        <w:t> for employment because of race, color, religion, sex, sexual orientation, gender identity, or national origin.  The </w:t>
      </w:r>
      <w:hyperlink r:id="rId11" w:tooltip="contractor" w:history="1">
        <w:r w:rsidRPr="00351CCB">
          <w:rPr>
            <w:rStyle w:val="Hyperlink"/>
            <w:rFonts w:ascii="Arial" w:hAnsi="Arial" w:cs="Arial"/>
            <w:color w:val="auto"/>
            <w:sz w:val="20"/>
            <w:u w:val="none"/>
          </w:rPr>
          <w:t>contractor</w:t>
        </w:r>
      </w:hyperlink>
      <w:r w:rsidRPr="00351CCB">
        <w:rPr>
          <w:rFonts w:ascii="Arial" w:hAnsi="Arial" w:cs="Arial"/>
          <w:sz w:val="20"/>
        </w:rPr>
        <w:t> must take affirmative action to ensure that </w:t>
      </w:r>
      <w:hyperlink r:id="rId12" w:tooltip="applicants" w:history="1">
        <w:r w:rsidRPr="00351CCB">
          <w:rPr>
            <w:rStyle w:val="Hyperlink"/>
            <w:rFonts w:ascii="Arial" w:hAnsi="Arial" w:cs="Arial"/>
            <w:color w:val="auto"/>
            <w:sz w:val="20"/>
            <w:u w:val="none"/>
          </w:rPr>
          <w:t>applicants</w:t>
        </w:r>
      </w:hyperlink>
      <w:r w:rsidRPr="00351CCB">
        <w:rPr>
          <w:rFonts w:ascii="Arial" w:hAnsi="Arial" w:cs="Arial"/>
          <w:sz w:val="20"/>
        </w:rPr>
        <w:t xml:space="preserve"> are employed and that </w:t>
      </w:r>
      <w:hyperlink r:id="rId13" w:tooltip="employees" w:history="1">
        <w:r w:rsidRPr="00351CCB">
          <w:rPr>
            <w:rStyle w:val="Hyperlink"/>
            <w:rFonts w:ascii="Arial" w:hAnsi="Arial" w:cs="Arial"/>
            <w:color w:val="auto"/>
            <w:sz w:val="20"/>
            <w:u w:val="none"/>
          </w:rPr>
          <w:t>employees</w:t>
        </w:r>
      </w:hyperlink>
      <w:r w:rsidRPr="00351CCB">
        <w:rPr>
          <w:rFonts w:ascii="Arial" w:hAnsi="Arial" w:cs="Arial"/>
          <w:sz w:val="20"/>
        </w:rPr>
        <w:t xml:space="preserve"> are treated during employment without regard to their race, color, religion, sex, sexual orientation, gender identity, or national origin.  This action includes but is not limited to the following:  </w:t>
      </w:r>
    </w:p>
    <w:p w:rsidR="001B0DE5" w:rsidRPr="00351CCB" w:rsidRDefault="001B0DE5" w:rsidP="006A1534">
      <w:pPr>
        <w:pStyle w:val="LegalH5L3"/>
        <w:numPr>
          <w:ilvl w:val="0"/>
          <w:numId w:val="31"/>
        </w:numPr>
        <w:spacing w:after="120"/>
        <w:ind w:left="1080"/>
        <w:jc w:val="both"/>
        <w:rPr>
          <w:rFonts w:ascii="Arial" w:hAnsi="Arial" w:cs="Arial"/>
          <w:sz w:val="20"/>
        </w:rPr>
      </w:pPr>
      <w:r w:rsidRPr="00351CCB">
        <w:rPr>
          <w:rFonts w:ascii="Arial" w:hAnsi="Arial" w:cs="Arial"/>
          <w:sz w:val="20"/>
        </w:rPr>
        <w:t xml:space="preserve">Employment, upgrading, demotion, or transfer; </w:t>
      </w:r>
    </w:p>
    <w:p w:rsidR="001B0DE5" w:rsidRPr="00351CCB" w:rsidRDefault="001B0DE5" w:rsidP="006A1534">
      <w:pPr>
        <w:pStyle w:val="LegalH5L3"/>
        <w:numPr>
          <w:ilvl w:val="0"/>
          <w:numId w:val="31"/>
        </w:numPr>
        <w:spacing w:after="120"/>
        <w:ind w:left="1080"/>
        <w:jc w:val="both"/>
        <w:rPr>
          <w:rFonts w:ascii="Arial" w:hAnsi="Arial" w:cs="Arial"/>
          <w:sz w:val="20"/>
        </w:rPr>
      </w:pPr>
      <w:r w:rsidRPr="00351CCB">
        <w:rPr>
          <w:rFonts w:ascii="Arial" w:hAnsi="Arial" w:cs="Arial"/>
          <w:sz w:val="20"/>
        </w:rPr>
        <w:t xml:space="preserve">Recruitment or recruitment advertising; </w:t>
      </w:r>
    </w:p>
    <w:p w:rsidR="001B0DE5" w:rsidRPr="00351CCB" w:rsidRDefault="001B0DE5" w:rsidP="006A1534">
      <w:pPr>
        <w:pStyle w:val="LegalH5L3"/>
        <w:numPr>
          <w:ilvl w:val="0"/>
          <w:numId w:val="31"/>
        </w:numPr>
        <w:spacing w:after="120"/>
        <w:ind w:left="1080"/>
        <w:jc w:val="both"/>
        <w:rPr>
          <w:rFonts w:ascii="Arial" w:hAnsi="Arial" w:cs="Arial"/>
          <w:sz w:val="20"/>
        </w:rPr>
      </w:pPr>
      <w:r w:rsidRPr="00351CCB">
        <w:rPr>
          <w:rFonts w:ascii="Arial" w:hAnsi="Arial" w:cs="Arial"/>
          <w:sz w:val="20"/>
        </w:rPr>
        <w:t xml:space="preserve">Layoff or termination; </w:t>
      </w:r>
    </w:p>
    <w:p w:rsidR="001B0DE5" w:rsidRPr="00351CCB" w:rsidRDefault="001B0DE5" w:rsidP="006A1534">
      <w:pPr>
        <w:pStyle w:val="LegalH5L3"/>
        <w:numPr>
          <w:ilvl w:val="0"/>
          <w:numId w:val="31"/>
        </w:numPr>
        <w:spacing w:after="120"/>
        <w:ind w:left="1080"/>
        <w:jc w:val="both"/>
        <w:rPr>
          <w:rFonts w:ascii="Arial" w:hAnsi="Arial" w:cs="Arial"/>
          <w:sz w:val="20"/>
        </w:rPr>
      </w:pPr>
      <w:r w:rsidRPr="00351CCB">
        <w:rPr>
          <w:rFonts w:ascii="Arial" w:hAnsi="Arial" w:cs="Arial"/>
          <w:sz w:val="20"/>
        </w:rPr>
        <w:t>Rates of </w:t>
      </w:r>
      <w:hyperlink r:id="rId14" w:tooltip="pay" w:history="1">
        <w:r w:rsidRPr="00351CCB">
          <w:rPr>
            <w:rFonts w:ascii="Arial" w:hAnsi="Arial" w:cs="Arial"/>
            <w:sz w:val="20"/>
          </w:rPr>
          <w:t>pay</w:t>
        </w:r>
      </w:hyperlink>
      <w:r w:rsidRPr="00351CCB">
        <w:rPr>
          <w:rFonts w:ascii="Arial" w:hAnsi="Arial" w:cs="Arial"/>
          <w:sz w:val="20"/>
        </w:rPr>
        <w:t xml:space="preserve"> or other forms of </w:t>
      </w:r>
      <w:hyperlink r:id="rId15" w:tooltip="compensation" w:history="1">
        <w:r w:rsidRPr="00351CCB">
          <w:rPr>
            <w:rFonts w:ascii="Arial" w:hAnsi="Arial" w:cs="Arial"/>
            <w:sz w:val="20"/>
          </w:rPr>
          <w:t>compensation</w:t>
        </w:r>
      </w:hyperlink>
      <w:r w:rsidRPr="00351CCB">
        <w:rPr>
          <w:rFonts w:ascii="Arial" w:hAnsi="Arial" w:cs="Arial"/>
          <w:sz w:val="20"/>
        </w:rPr>
        <w:t xml:space="preserve">; and </w:t>
      </w:r>
    </w:p>
    <w:p w:rsidR="001B0DE5" w:rsidRPr="00351CCB" w:rsidRDefault="001B0DE5" w:rsidP="006A1534">
      <w:pPr>
        <w:pStyle w:val="LegalH5L3"/>
        <w:numPr>
          <w:ilvl w:val="0"/>
          <w:numId w:val="31"/>
        </w:numPr>
        <w:spacing w:after="120"/>
        <w:ind w:left="1080"/>
        <w:jc w:val="both"/>
        <w:rPr>
          <w:rFonts w:ascii="Arial" w:hAnsi="Arial" w:cs="Arial"/>
          <w:sz w:val="20"/>
        </w:rPr>
      </w:pPr>
      <w:r w:rsidRPr="00351CCB">
        <w:rPr>
          <w:rFonts w:ascii="Arial" w:hAnsi="Arial" w:cs="Arial"/>
          <w:sz w:val="20"/>
        </w:rPr>
        <w:t xml:space="preserve">Selection for training, including apprenticeship. </w:t>
      </w:r>
    </w:p>
    <w:p w:rsidR="001B0DE5" w:rsidRPr="00351CCB" w:rsidRDefault="001B0DE5" w:rsidP="006A1534">
      <w:pPr>
        <w:pStyle w:val="LegalH5L3"/>
        <w:numPr>
          <w:ilvl w:val="0"/>
          <w:numId w:val="0"/>
        </w:numPr>
        <w:spacing w:after="120"/>
        <w:ind w:left="720"/>
        <w:jc w:val="both"/>
        <w:rPr>
          <w:rFonts w:ascii="Arial" w:hAnsi="Arial" w:cs="Arial"/>
          <w:sz w:val="20"/>
        </w:rPr>
      </w:pPr>
      <w:r w:rsidRPr="00351CCB">
        <w:rPr>
          <w:rFonts w:ascii="Arial" w:hAnsi="Arial" w:cs="Arial"/>
          <w:sz w:val="20"/>
        </w:rPr>
        <w:t xml:space="preserve">Contractor must post in conspicuous places that are accessible by </w:t>
      </w:r>
      <w:hyperlink r:id="rId16" w:tooltip="employees" w:history="1">
        <w:r w:rsidRPr="00351CCB">
          <w:rPr>
            <w:rStyle w:val="Hyperlink"/>
            <w:rFonts w:ascii="Arial" w:hAnsi="Arial" w:cs="Arial"/>
            <w:color w:val="auto"/>
            <w:sz w:val="20"/>
            <w:u w:val="none"/>
          </w:rPr>
          <w:t>employees</w:t>
        </w:r>
      </w:hyperlink>
      <w:r w:rsidRPr="00351CCB">
        <w:rPr>
          <w:rFonts w:ascii="Arial" w:hAnsi="Arial" w:cs="Arial"/>
          <w:sz w:val="20"/>
        </w:rPr>
        <w:t xml:space="preserve"> and </w:t>
      </w:r>
      <w:hyperlink r:id="rId17" w:tooltip="applicants" w:history="1">
        <w:r w:rsidRPr="00351CCB">
          <w:rPr>
            <w:rStyle w:val="Hyperlink"/>
            <w:rFonts w:ascii="Arial" w:hAnsi="Arial" w:cs="Arial"/>
            <w:color w:val="auto"/>
            <w:sz w:val="20"/>
            <w:u w:val="none"/>
          </w:rPr>
          <w:t>applicants</w:t>
        </w:r>
      </w:hyperlink>
      <w:r w:rsidRPr="00351CCB">
        <w:rPr>
          <w:rFonts w:ascii="Arial" w:hAnsi="Arial" w:cs="Arial"/>
          <w:sz w:val="20"/>
        </w:rPr>
        <w:t> for employment notices setting forth the provisions of this nondiscrimination clause;</w:t>
      </w:r>
    </w:p>
    <w:p w:rsidR="001B0DE5" w:rsidRPr="00351CCB" w:rsidRDefault="001B0DE5" w:rsidP="006A1534">
      <w:pPr>
        <w:pStyle w:val="LegalH5L2"/>
        <w:tabs>
          <w:tab w:val="num" w:pos="720"/>
        </w:tabs>
        <w:spacing w:after="120"/>
        <w:ind w:left="720" w:hanging="360"/>
        <w:jc w:val="both"/>
        <w:rPr>
          <w:rFonts w:ascii="Arial" w:hAnsi="Arial" w:cs="Arial"/>
          <w:sz w:val="20"/>
        </w:rPr>
      </w:pPr>
      <w:r w:rsidRPr="00351CCB">
        <w:rPr>
          <w:rFonts w:ascii="Arial" w:hAnsi="Arial" w:cs="Arial"/>
          <w:sz w:val="20"/>
        </w:rPr>
        <w:t>State in all solicitations or advertisements for </w:t>
      </w:r>
      <w:hyperlink r:id="rId18" w:tooltip="employees" w:history="1">
        <w:r w:rsidRPr="00351CCB">
          <w:rPr>
            <w:rStyle w:val="Hyperlink"/>
            <w:rFonts w:ascii="Arial" w:hAnsi="Arial" w:cs="Arial"/>
            <w:color w:val="auto"/>
            <w:sz w:val="20"/>
            <w:u w:val="none"/>
          </w:rPr>
          <w:t>employees</w:t>
        </w:r>
      </w:hyperlink>
      <w:r w:rsidRPr="00351CCB">
        <w:rPr>
          <w:rFonts w:ascii="Arial" w:hAnsi="Arial" w:cs="Arial"/>
          <w:sz w:val="20"/>
        </w:rPr>
        <w:t xml:space="preserve"> placed by or on behalf of Contractor that all qualified </w:t>
      </w:r>
      <w:hyperlink r:id="rId19" w:tooltip="applicants" w:history="1">
        <w:r w:rsidRPr="00351CCB">
          <w:rPr>
            <w:rStyle w:val="Hyperlink"/>
            <w:rFonts w:ascii="Arial" w:hAnsi="Arial" w:cs="Arial"/>
            <w:color w:val="auto"/>
            <w:sz w:val="20"/>
            <w:u w:val="none"/>
          </w:rPr>
          <w:t>applicants</w:t>
        </w:r>
      </w:hyperlink>
      <w:r w:rsidRPr="00351CCB">
        <w:rPr>
          <w:rFonts w:ascii="Arial" w:hAnsi="Arial" w:cs="Arial"/>
          <w:sz w:val="20"/>
        </w:rPr>
        <w:t> will receive consideration for employment without regard to race, color, religion, sex, sexual orientation, gender identity, or national origin;</w:t>
      </w:r>
    </w:p>
    <w:p w:rsidR="001B0DE5" w:rsidRPr="00351CCB" w:rsidRDefault="001B0DE5" w:rsidP="006A1534">
      <w:pPr>
        <w:pStyle w:val="LegalH5L2"/>
        <w:tabs>
          <w:tab w:val="num" w:pos="720"/>
        </w:tabs>
        <w:spacing w:after="120"/>
        <w:ind w:left="720" w:hanging="360"/>
        <w:jc w:val="both"/>
        <w:rPr>
          <w:rFonts w:ascii="Arial" w:hAnsi="Arial" w:cs="Arial"/>
          <w:sz w:val="20"/>
        </w:rPr>
      </w:pPr>
      <w:r w:rsidRPr="00351CCB">
        <w:rPr>
          <w:rFonts w:ascii="Arial" w:hAnsi="Arial" w:cs="Arial"/>
          <w:sz w:val="20"/>
        </w:rPr>
        <w:t>Not discharge or in any other manner discriminate against any </w:t>
      </w:r>
      <w:hyperlink r:id="rId20" w:tooltip="employee" w:history="1">
        <w:r w:rsidRPr="00351CCB">
          <w:rPr>
            <w:rStyle w:val="Hyperlink"/>
            <w:rFonts w:ascii="Arial" w:hAnsi="Arial" w:cs="Arial"/>
            <w:color w:val="auto"/>
            <w:sz w:val="20"/>
            <w:u w:val="none"/>
          </w:rPr>
          <w:t>employee</w:t>
        </w:r>
      </w:hyperlink>
      <w:r w:rsidRPr="00351CCB">
        <w:rPr>
          <w:rFonts w:ascii="Arial" w:hAnsi="Arial" w:cs="Arial"/>
          <w:sz w:val="20"/>
        </w:rPr>
        <w:t> or </w:t>
      </w:r>
      <w:hyperlink r:id="rId21" w:tooltip="applicant" w:history="1">
        <w:r w:rsidRPr="00351CCB">
          <w:rPr>
            <w:rStyle w:val="Hyperlink"/>
            <w:rFonts w:ascii="Arial" w:hAnsi="Arial" w:cs="Arial"/>
            <w:color w:val="auto"/>
            <w:sz w:val="20"/>
            <w:u w:val="none"/>
          </w:rPr>
          <w:t>applicant</w:t>
        </w:r>
      </w:hyperlink>
      <w:r w:rsidRPr="00351CCB">
        <w:rPr>
          <w:rFonts w:ascii="Arial" w:hAnsi="Arial" w:cs="Arial"/>
          <w:sz w:val="20"/>
        </w:rPr>
        <w:t xml:space="preserve"> for employment because the </w:t>
      </w:r>
      <w:hyperlink r:id="rId22" w:tooltip="employee" w:history="1">
        <w:r w:rsidRPr="00351CCB">
          <w:rPr>
            <w:rStyle w:val="Hyperlink"/>
            <w:rFonts w:ascii="Arial" w:hAnsi="Arial" w:cs="Arial"/>
            <w:color w:val="auto"/>
            <w:sz w:val="20"/>
            <w:u w:val="none"/>
          </w:rPr>
          <w:t>employee</w:t>
        </w:r>
      </w:hyperlink>
      <w:r w:rsidRPr="00351CCB">
        <w:rPr>
          <w:rFonts w:ascii="Arial" w:hAnsi="Arial" w:cs="Arial"/>
          <w:sz w:val="20"/>
        </w:rPr>
        <w:t> or </w:t>
      </w:r>
      <w:hyperlink r:id="rId23" w:tooltip="applicant" w:history="1">
        <w:r w:rsidRPr="00351CCB">
          <w:rPr>
            <w:rStyle w:val="Hyperlink"/>
            <w:rFonts w:ascii="Arial" w:hAnsi="Arial" w:cs="Arial"/>
            <w:color w:val="auto"/>
            <w:sz w:val="20"/>
            <w:u w:val="none"/>
          </w:rPr>
          <w:t>applicant</w:t>
        </w:r>
      </w:hyperlink>
      <w:r w:rsidRPr="00351CCB">
        <w:rPr>
          <w:rFonts w:ascii="Arial" w:hAnsi="Arial" w:cs="Arial"/>
          <w:sz w:val="20"/>
        </w:rPr>
        <w:t> has inquired about, discussed, or disclosed the </w:t>
      </w:r>
      <w:hyperlink r:id="rId24" w:tooltip="compensation" w:history="1">
        <w:r w:rsidRPr="00351CCB">
          <w:rPr>
            <w:rStyle w:val="Hyperlink"/>
            <w:rFonts w:ascii="Arial" w:hAnsi="Arial" w:cs="Arial"/>
            <w:color w:val="auto"/>
            <w:sz w:val="20"/>
            <w:u w:val="none"/>
          </w:rPr>
          <w:t>compensation</w:t>
        </w:r>
      </w:hyperlink>
      <w:r w:rsidRPr="00351CCB">
        <w:rPr>
          <w:rFonts w:ascii="Arial" w:hAnsi="Arial" w:cs="Arial"/>
          <w:sz w:val="20"/>
        </w:rPr>
        <w:t> of the </w:t>
      </w:r>
      <w:hyperlink r:id="rId25" w:tooltip="employee" w:history="1">
        <w:r w:rsidRPr="00351CCB">
          <w:rPr>
            <w:rStyle w:val="Hyperlink"/>
            <w:rFonts w:ascii="Arial" w:hAnsi="Arial" w:cs="Arial"/>
            <w:color w:val="auto"/>
            <w:sz w:val="20"/>
            <w:u w:val="none"/>
          </w:rPr>
          <w:t>employee</w:t>
        </w:r>
      </w:hyperlink>
      <w:r w:rsidRPr="00351CCB">
        <w:rPr>
          <w:rFonts w:ascii="Arial" w:hAnsi="Arial" w:cs="Arial"/>
          <w:sz w:val="20"/>
        </w:rPr>
        <w:t> or </w:t>
      </w:r>
      <w:hyperlink r:id="rId26" w:tooltip="applicant" w:history="1">
        <w:r w:rsidRPr="00351CCB">
          <w:rPr>
            <w:rStyle w:val="Hyperlink"/>
            <w:rFonts w:ascii="Arial" w:hAnsi="Arial" w:cs="Arial"/>
            <w:color w:val="auto"/>
            <w:sz w:val="20"/>
            <w:u w:val="none"/>
          </w:rPr>
          <w:t>applicant</w:t>
        </w:r>
      </w:hyperlink>
      <w:r w:rsidRPr="00351CCB">
        <w:rPr>
          <w:rFonts w:ascii="Arial" w:hAnsi="Arial" w:cs="Arial"/>
          <w:sz w:val="20"/>
        </w:rPr>
        <w:t> or another </w:t>
      </w:r>
      <w:hyperlink r:id="rId27" w:tooltip="employee" w:history="1">
        <w:r w:rsidRPr="00351CCB">
          <w:rPr>
            <w:rStyle w:val="Hyperlink"/>
            <w:rFonts w:ascii="Arial" w:hAnsi="Arial" w:cs="Arial"/>
            <w:color w:val="auto"/>
            <w:sz w:val="20"/>
            <w:u w:val="none"/>
          </w:rPr>
          <w:t>employee</w:t>
        </w:r>
      </w:hyperlink>
      <w:r w:rsidRPr="00351CCB">
        <w:rPr>
          <w:rFonts w:ascii="Arial" w:hAnsi="Arial" w:cs="Arial"/>
          <w:sz w:val="20"/>
        </w:rPr>
        <w:t xml:space="preserve"> or </w:t>
      </w:r>
      <w:hyperlink r:id="rId28" w:tooltip="applicant" w:history="1">
        <w:r w:rsidRPr="00351CCB">
          <w:rPr>
            <w:rStyle w:val="Hyperlink"/>
            <w:rFonts w:ascii="Arial" w:hAnsi="Arial" w:cs="Arial"/>
            <w:color w:val="auto"/>
            <w:sz w:val="20"/>
            <w:u w:val="none"/>
          </w:rPr>
          <w:t>applicant</w:t>
        </w:r>
      </w:hyperlink>
      <w:r w:rsidRPr="00351CCB">
        <w:rPr>
          <w:rFonts w:ascii="Arial" w:hAnsi="Arial" w:cs="Arial"/>
          <w:sz w:val="20"/>
        </w:rPr>
        <w:t>.  This provision, however, does not apply to instances in which an </w:t>
      </w:r>
      <w:hyperlink r:id="rId29" w:tooltip="employee" w:history="1">
        <w:r w:rsidRPr="00351CCB">
          <w:rPr>
            <w:rStyle w:val="Hyperlink"/>
            <w:rFonts w:ascii="Arial" w:hAnsi="Arial" w:cs="Arial"/>
            <w:color w:val="auto"/>
            <w:sz w:val="20"/>
            <w:u w:val="none"/>
          </w:rPr>
          <w:t>employee</w:t>
        </w:r>
      </w:hyperlink>
      <w:r w:rsidRPr="00351CCB">
        <w:rPr>
          <w:rFonts w:ascii="Arial" w:hAnsi="Arial" w:cs="Arial"/>
          <w:sz w:val="20"/>
        </w:rPr>
        <w:t> who has access to the </w:t>
      </w:r>
      <w:hyperlink r:id="rId30" w:tooltip="compensation information" w:history="1">
        <w:r w:rsidRPr="00351CCB">
          <w:rPr>
            <w:rStyle w:val="Hyperlink"/>
            <w:rFonts w:ascii="Arial" w:hAnsi="Arial" w:cs="Arial"/>
            <w:color w:val="auto"/>
            <w:sz w:val="20"/>
            <w:u w:val="none"/>
          </w:rPr>
          <w:t>compensation information</w:t>
        </w:r>
      </w:hyperlink>
      <w:r w:rsidRPr="00351CCB">
        <w:rPr>
          <w:rFonts w:ascii="Arial" w:hAnsi="Arial" w:cs="Arial"/>
          <w:sz w:val="20"/>
        </w:rPr>
        <w:t xml:space="preserve"> of other </w:t>
      </w:r>
      <w:hyperlink r:id="rId31" w:tooltip="employees" w:history="1">
        <w:r w:rsidRPr="00351CCB">
          <w:rPr>
            <w:rStyle w:val="Hyperlink"/>
            <w:rFonts w:ascii="Arial" w:hAnsi="Arial" w:cs="Arial"/>
            <w:color w:val="auto"/>
            <w:sz w:val="20"/>
            <w:u w:val="none"/>
          </w:rPr>
          <w:t>employees</w:t>
        </w:r>
      </w:hyperlink>
      <w:r w:rsidRPr="00351CCB">
        <w:rPr>
          <w:rFonts w:ascii="Arial" w:hAnsi="Arial" w:cs="Arial"/>
          <w:sz w:val="20"/>
        </w:rPr>
        <w:t> or </w:t>
      </w:r>
      <w:hyperlink r:id="rId32" w:tooltip="applicants" w:history="1">
        <w:r w:rsidRPr="00351CCB">
          <w:rPr>
            <w:rStyle w:val="Hyperlink"/>
            <w:rFonts w:ascii="Arial" w:hAnsi="Arial" w:cs="Arial"/>
            <w:color w:val="auto"/>
            <w:sz w:val="20"/>
            <w:u w:val="none"/>
          </w:rPr>
          <w:t>applicants</w:t>
        </w:r>
      </w:hyperlink>
      <w:r w:rsidRPr="00351CCB">
        <w:rPr>
          <w:rFonts w:ascii="Arial" w:hAnsi="Arial" w:cs="Arial"/>
          <w:sz w:val="20"/>
        </w:rPr>
        <w:t> as part of the </w:t>
      </w:r>
      <w:hyperlink r:id="rId33" w:tooltip="employee" w:history="1">
        <w:r w:rsidRPr="00351CCB">
          <w:rPr>
            <w:rStyle w:val="Hyperlink"/>
            <w:rFonts w:ascii="Arial" w:hAnsi="Arial" w:cs="Arial"/>
            <w:color w:val="auto"/>
            <w:sz w:val="20"/>
            <w:u w:val="none"/>
          </w:rPr>
          <w:t>employee</w:t>
        </w:r>
      </w:hyperlink>
      <w:r w:rsidRPr="00351CCB">
        <w:rPr>
          <w:rFonts w:ascii="Arial" w:hAnsi="Arial" w:cs="Arial"/>
          <w:sz w:val="20"/>
        </w:rPr>
        <w:t>’s </w:t>
      </w:r>
      <w:hyperlink r:id="rId34" w:tooltip="essential job functions" w:history="1">
        <w:r w:rsidRPr="00351CCB">
          <w:rPr>
            <w:rStyle w:val="Hyperlink"/>
            <w:rFonts w:ascii="Arial" w:hAnsi="Arial" w:cs="Arial"/>
            <w:color w:val="auto"/>
            <w:sz w:val="20"/>
            <w:u w:val="none"/>
          </w:rPr>
          <w:t>essential job functions</w:t>
        </w:r>
      </w:hyperlink>
      <w:r w:rsidRPr="00351CCB">
        <w:rPr>
          <w:rFonts w:ascii="Arial" w:hAnsi="Arial" w:cs="Arial"/>
          <w:sz w:val="20"/>
        </w:rPr>
        <w:t> discloses the </w:t>
      </w:r>
      <w:hyperlink r:id="rId35" w:tooltip="compensation" w:history="1">
        <w:r w:rsidRPr="00351CCB">
          <w:rPr>
            <w:rStyle w:val="Hyperlink"/>
            <w:rFonts w:ascii="Arial" w:hAnsi="Arial" w:cs="Arial"/>
            <w:color w:val="auto"/>
            <w:sz w:val="20"/>
            <w:u w:val="none"/>
          </w:rPr>
          <w:t>compensation</w:t>
        </w:r>
      </w:hyperlink>
      <w:r w:rsidRPr="00351CCB">
        <w:rPr>
          <w:rFonts w:ascii="Arial" w:hAnsi="Arial" w:cs="Arial"/>
          <w:sz w:val="20"/>
        </w:rPr>
        <w:t> of other </w:t>
      </w:r>
      <w:hyperlink r:id="rId36" w:tooltip="employees" w:history="1">
        <w:r w:rsidRPr="00351CCB">
          <w:rPr>
            <w:rStyle w:val="Hyperlink"/>
            <w:rFonts w:ascii="Arial" w:hAnsi="Arial" w:cs="Arial"/>
            <w:color w:val="auto"/>
            <w:sz w:val="20"/>
            <w:u w:val="none"/>
          </w:rPr>
          <w:t>employees</w:t>
        </w:r>
      </w:hyperlink>
      <w:r w:rsidRPr="00351CCB">
        <w:rPr>
          <w:rFonts w:ascii="Arial" w:hAnsi="Arial" w:cs="Arial"/>
          <w:sz w:val="20"/>
        </w:rPr>
        <w:t xml:space="preserve"> or </w:t>
      </w:r>
      <w:hyperlink r:id="rId37" w:tooltip="applicants" w:history="1">
        <w:r w:rsidRPr="00351CCB">
          <w:rPr>
            <w:rStyle w:val="Hyperlink"/>
            <w:rFonts w:ascii="Arial" w:hAnsi="Arial" w:cs="Arial"/>
            <w:color w:val="auto"/>
            <w:sz w:val="20"/>
            <w:u w:val="none"/>
          </w:rPr>
          <w:t>applicants</w:t>
        </w:r>
      </w:hyperlink>
      <w:r w:rsidRPr="00351CCB">
        <w:rPr>
          <w:rFonts w:ascii="Arial" w:hAnsi="Arial" w:cs="Arial"/>
          <w:sz w:val="20"/>
        </w:rPr>
        <w:t> to individuals who do not otherwise have access to the information, unless the disclosure is in response to a formal complaint or charge and in furtherance of an investigation, proceeding, hearing, or action, including an investigation conducted by the </w:t>
      </w:r>
      <w:hyperlink r:id="rId38" w:tooltip="employer" w:history="1">
        <w:r w:rsidRPr="00351CCB">
          <w:rPr>
            <w:rStyle w:val="Hyperlink"/>
            <w:rFonts w:ascii="Arial" w:hAnsi="Arial" w:cs="Arial"/>
            <w:color w:val="auto"/>
            <w:sz w:val="20"/>
            <w:u w:val="none"/>
          </w:rPr>
          <w:t>employer</w:t>
        </w:r>
      </w:hyperlink>
      <w:r w:rsidRPr="00351CCB">
        <w:rPr>
          <w:rFonts w:ascii="Arial" w:hAnsi="Arial" w:cs="Arial"/>
          <w:sz w:val="20"/>
        </w:rPr>
        <w:t>, or is consistent with Contractor’s legal duty to furnish this information;</w:t>
      </w:r>
    </w:p>
    <w:p w:rsidR="001B0DE5" w:rsidRPr="00351CCB" w:rsidRDefault="001B0DE5" w:rsidP="006A1534">
      <w:pPr>
        <w:pStyle w:val="LegalH5L2"/>
        <w:tabs>
          <w:tab w:val="num" w:pos="720"/>
        </w:tabs>
        <w:spacing w:after="120"/>
        <w:ind w:left="720" w:hanging="360"/>
        <w:jc w:val="both"/>
        <w:rPr>
          <w:rFonts w:ascii="Arial" w:hAnsi="Arial" w:cs="Arial"/>
          <w:sz w:val="20"/>
        </w:rPr>
      </w:pPr>
      <w:r w:rsidRPr="00351CCB">
        <w:rPr>
          <w:rFonts w:ascii="Arial" w:hAnsi="Arial" w:cs="Arial"/>
          <w:sz w:val="20"/>
        </w:rPr>
        <w:t xml:space="preserve">Send to each labor union or representative of workers with which it has a collective bargaining agreement or other </w:t>
      </w:r>
      <w:hyperlink r:id="rId39" w:tooltip="contract" w:history="1">
        <w:r w:rsidRPr="00351CCB">
          <w:rPr>
            <w:rStyle w:val="Hyperlink"/>
            <w:rFonts w:ascii="Arial" w:hAnsi="Arial" w:cs="Arial"/>
            <w:color w:val="auto"/>
            <w:sz w:val="20"/>
            <w:u w:val="none"/>
          </w:rPr>
          <w:t>contract</w:t>
        </w:r>
      </w:hyperlink>
      <w:r w:rsidRPr="00351CCB">
        <w:rPr>
          <w:rFonts w:ascii="Arial" w:hAnsi="Arial" w:cs="Arial"/>
          <w:sz w:val="20"/>
        </w:rPr>
        <w:t> or understanding a notice advising the labor union or workers’ representatives of Contractor’s commitments under this</w:t>
      </w:r>
      <w:r w:rsidR="00351CCB" w:rsidRPr="00351CCB">
        <w:rPr>
          <w:rFonts w:ascii="Arial" w:hAnsi="Arial" w:cs="Arial"/>
          <w:sz w:val="20"/>
        </w:rPr>
        <w:t xml:space="preserve"> Section 3.d</w:t>
      </w:r>
      <w:r w:rsidRPr="00351CCB">
        <w:rPr>
          <w:rFonts w:ascii="Arial" w:hAnsi="Arial" w:cs="Arial"/>
          <w:sz w:val="20"/>
        </w:rPr>
        <w:t>.  Contractor must post copies of the notice in conspicuous places that are accessible by </w:t>
      </w:r>
      <w:hyperlink r:id="rId40" w:tooltip="employees" w:history="1">
        <w:r w:rsidRPr="00351CCB">
          <w:rPr>
            <w:rStyle w:val="Hyperlink"/>
            <w:rFonts w:ascii="Arial" w:hAnsi="Arial" w:cs="Arial"/>
            <w:color w:val="auto"/>
            <w:sz w:val="20"/>
            <w:u w:val="none"/>
          </w:rPr>
          <w:t>employees</w:t>
        </w:r>
      </w:hyperlink>
      <w:r w:rsidRPr="00351CCB">
        <w:rPr>
          <w:rFonts w:ascii="Arial" w:hAnsi="Arial" w:cs="Arial"/>
          <w:sz w:val="20"/>
        </w:rPr>
        <w:t> and </w:t>
      </w:r>
      <w:hyperlink r:id="rId41" w:tooltip="applicants" w:history="1">
        <w:r w:rsidRPr="00351CCB">
          <w:rPr>
            <w:rStyle w:val="Hyperlink"/>
            <w:rFonts w:ascii="Arial" w:hAnsi="Arial" w:cs="Arial"/>
            <w:color w:val="auto"/>
            <w:sz w:val="20"/>
            <w:u w:val="none"/>
          </w:rPr>
          <w:t>applicants</w:t>
        </w:r>
      </w:hyperlink>
      <w:r w:rsidRPr="00351CCB">
        <w:rPr>
          <w:rFonts w:ascii="Arial" w:hAnsi="Arial" w:cs="Arial"/>
          <w:sz w:val="20"/>
        </w:rPr>
        <w:t> for employment;</w:t>
      </w:r>
    </w:p>
    <w:p w:rsidR="006C1FB5" w:rsidRPr="006A1534" w:rsidRDefault="001B0DE5" w:rsidP="006A1534">
      <w:pPr>
        <w:pStyle w:val="LegalH5L2"/>
        <w:tabs>
          <w:tab w:val="num" w:pos="720"/>
        </w:tabs>
        <w:spacing w:after="120"/>
        <w:ind w:left="720" w:hanging="360"/>
        <w:jc w:val="both"/>
        <w:rPr>
          <w:rFonts w:ascii="Arial" w:hAnsi="Arial" w:cs="Arial"/>
          <w:sz w:val="20"/>
        </w:rPr>
      </w:pPr>
      <w:r w:rsidRPr="00351CCB">
        <w:rPr>
          <w:rFonts w:ascii="Arial" w:hAnsi="Arial" w:cs="Arial"/>
          <w:sz w:val="20"/>
        </w:rPr>
        <w:t>Comply with all provisions </w:t>
      </w:r>
      <w:hyperlink r:id="rId42" w:tooltip="of Executive Order 11246" w:history="1">
        <w:r w:rsidRPr="00351CCB">
          <w:rPr>
            <w:rStyle w:val="Hyperlink"/>
            <w:rFonts w:ascii="Arial" w:hAnsi="Arial" w:cs="Arial"/>
            <w:color w:val="auto"/>
            <w:sz w:val="20"/>
            <w:u w:val="none"/>
          </w:rPr>
          <w:t>of Executive Order 11246</w:t>
        </w:r>
      </w:hyperlink>
      <w:r w:rsidRPr="00351CCB">
        <w:rPr>
          <w:rFonts w:ascii="Arial" w:hAnsi="Arial" w:cs="Arial"/>
          <w:sz w:val="20"/>
        </w:rPr>
        <w:t> of September 24, 1965, and of the rules, regulations, or relevant orders of the </w:t>
      </w:r>
      <w:hyperlink r:id="rId43" w:tooltip="Secretary" w:history="1">
        <w:r w:rsidRPr="00351CCB">
          <w:rPr>
            <w:rStyle w:val="Hyperlink"/>
            <w:rFonts w:ascii="Arial" w:hAnsi="Arial" w:cs="Arial"/>
            <w:color w:val="auto"/>
            <w:sz w:val="20"/>
            <w:u w:val="none"/>
          </w:rPr>
          <w:t>Secretary</w:t>
        </w:r>
      </w:hyperlink>
      <w:r w:rsidRPr="00351CCB">
        <w:rPr>
          <w:rFonts w:ascii="Arial" w:hAnsi="Arial" w:cs="Arial"/>
          <w:sz w:val="20"/>
        </w:rPr>
        <w:t xml:space="preserve"> of Labor, and furnish all information or reports required by or pursuant to them.  Contractor must also permit access to its books, records, or accounts by the </w:t>
      </w:r>
      <w:hyperlink r:id="rId44" w:tooltip="administering agency" w:history="1">
        <w:r w:rsidRPr="00351CCB">
          <w:rPr>
            <w:rStyle w:val="Hyperlink"/>
            <w:rFonts w:ascii="Arial" w:hAnsi="Arial" w:cs="Arial"/>
            <w:color w:val="auto"/>
            <w:sz w:val="20"/>
            <w:u w:val="none"/>
          </w:rPr>
          <w:t>administering agency</w:t>
        </w:r>
      </w:hyperlink>
      <w:r w:rsidRPr="00351CCB">
        <w:rPr>
          <w:rFonts w:ascii="Arial" w:hAnsi="Arial" w:cs="Arial"/>
          <w:sz w:val="20"/>
        </w:rPr>
        <w:t> and the </w:t>
      </w:r>
      <w:hyperlink r:id="rId45" w:tooltip="Secretary" w:history="1">
        <w:r w:rsidRPr="00351CCB">
          <w:rPr>
            <w:rStyle w:val="Hyperlink"/>
            <w:rFonts w:ascii="Arial" w:hAnsi="Arial" w:cs="Arial"/>
            <w:color w:val="auto"/>
            <w:sz w:val="20"/>
            <w:u w:val="none"/>
          </w:rPr>
          <w:t>Secretary</w:t>
        </w:r>
      </w:hyperlink>
      <w:r w:rsidRPr="00351CCB">
        <w:rPr>
          <w:rFonts w:ascii="Arial" w:hAnsi="Arial" w:cs="Arial"/>
          <w:sz w:val="20"/>
        </w:rPr>
        <w:t> of Labor for purposes of ascertaining compliance with these rules, regulations, or orders; and</w:t>
      </w:r>
    </w:p>
    <w:p w:rsidR="001B0DE5" w:rsidRPr="00351CCB" w:rsidRDefault="001B0DE5" w:rsidP="006A1534">
      <w:pPr>
        <w:pStyle w:val="LegalH5L2"/>
        <w:tabs>
          <w:tab w:val="num" w:pos="720"/>
        </w:tabs>
        <w:spacing w:after="120"/>
        <w:ind w:left="720" w:hanging="360"/>
        <w:jc w:val="both"/>
        <w:rPr>
          <w:rFonts w:ascii="Arial" w:hAnsi="Arial" w:cs="Arial"/>
          <w:sz w:val="20"/>
        </w:rPr>
      </w:pPr>
      <w:r w:rsidRPr="00351CCB">
        <w:rPr>
          <w:rFonts w:ascii="Arial" w:hAnsi="Arial" w:cs="Arial"/>
          <w:sz w:val="20"/>
        </w:rPr>
        <w:t>Include the requirements of this Section 3 in every </w:t>
      </w:r>
      <w:hyperlink r:id="rId46" w:tooltip="subcontract" w:history="1">
        <w:r w:rsidRPr="00351CCB">
          <w:rPr>
            <w:rStyle w:val="Hyperlink"/>
            <w:rFonts w:ascii="Arial" w:hAnsi="Arial" w:cs="Arial"/>
            <w:color w:val="auto"/>
            <w:sz w:val="20"/>
            <w:u w:val="none"/>
          </w:rPr>
          <w:t>subcontract</w:t>
        </w:r>
      </w:hyperlink>
      <w:r w:rsidRPr="00351CCB">
        <w:rPr>
          <w:rFonts w:ascii="Arial" w:hAnsi="Arial" w:cs="Arial"/>
          <w:sz w:val="20"/>
        </w:rPr>
        <w:t> or purchase order unless exempted by rules, regulations, or orders of the </w:t>
      </w:r>
      <w:hyperlink r:id="rId47" w:tooltip="Secretary" w:history="1">
        <w:r w:rsidRPr="00351CCB">
          <w:rPr>
            <w:rStyle w:val="Hyperlink"/>
            <w:rFonts w:ascii="Arial" w:hAnsi="Arial" w:cs="Arial"/>
            <w:color w:val="auto"/>
            <w:sz w:val="20"/>
            <w:u w:val="none"/>
          </w:rPr>
          <w:t>Secretary</w:t>
        </w:r>
      </w:hyperlink>
      <w:r w:rsidRPr="00351CCB">
        <w:rPr>
          <w:rFonts w:ascii="Arial" w:hAnsi="Arial" w:cs="Arial"/>
          <w:sz w:val="20"/>
        </w:rPr>
        <w:t> of Labor issued pursuant to Section 204 </w:t>
      </w:r>
      <w:hyperlink r:id="rId48" w:tooltip="of Executive Order 11246" w:history="1">
        <w:r w:rsidRPr="00351CCB">
          <w:rPr>
            <w:rStyle w:val="Hyperlink"/>
            <w:rFonts w:ascii="Arial" w:hAnsi="Arial" w:cs="Arial"/>
            <w:color w:val="auto"/>
            <w:sz w:val="20"/>
            <w:u w:val="none"/>
          </w:rPr>
          <w:t>of Executive Order 11246</w:t>
        </w:r>
      </w:hyperlink>
      <w:r w:rsidRPr="00351CCB">
        <w:rPr>
          <w:rFonts w:ascii="Arial" w:hAnsi="Arial" w:cs="Arial"/>
          <w:sz w:val="20"/>
        </w:rPr>
        <w:t> of September 24, 1965, so that these requirements will be binding on each </w:t>
      </w:r>
      <w:hyperlink r:id="rId49" w:tooltip="subcontractor" w:history="1">
        <w:r w:rsidRPr="00351CCB">
          <w:rPr>
            <w:rStyle w:val="Hyperlink"/>
            <w:rFonts w:ascii="Arial" w:hAnsi="Arial" w:cs="Arial"/>
            <w:color w:val="auto"/>
            <w:sz w:val="20"/>
            <w:u w:val="none"/>
          </w:rPr>
          <w:t>subcontractor</w:t>
        </w:r>
      </w:hyperlink>
      <w:r w:rsidRPr="00351CCB">
        <w:rPr>
          <w:rFonts w:ascii="Arial" w:hAnsi="Arial" w:cs="Arial"/>
          <w:sz w:val="20"/>
        </w:rPr>
        <w:t> or vendor.  Contractor must take any action with respect to any </w:t>
      </w:r>
      <w:hyperlink r:id="rId50" w:tooltip="subcontract" w:history="1">
        <w:r w:rsidRPr="00351CCB">
          <w:rPr>
            <w:rStyle w:val="Hyperlink"/>
            <w:rFonts w:ascii="Arial" w:hAnsi="Arial" w:cs="Arial"/>
            <w:color w:val="auto"/>
            <w:sz w:val="20"/>
            <w:u w:val="none"/>
          </w:rPr>
          <w:t>subcontract</w:t>
        </w:r>
      </w:hyperlink>
      <w:r w:rsidRPr="00351CCB">
        <w:rPr>
          <w:rFonts w:ascii="Arial" w:hAnsi="Arial" w:cs="Arial"/>
          <w:sz w:val="20"/>
        </w:rPr>
        <w:t> or purchase order as the </w:t>
      </w:r>
      <w:hyperlink r:id="rId51" w:tooltip="administering agency" w:history="1">
        <w:r w:rsidRPr="00351CCB">
          <w:rPr>
            <w:rStyle w:val="Hyperlink"/>
            <w:rFonts w:ascii="Arial" w:hAnsi="Arial" w:cs="Arial"/>
            <w:color w:val="auto"/>
            <w:sz w:val="20"/>
            <w:u w:val="none"/>
          </w:rPr>
          <w:t>administering agency</w:t>
        </w:r>
      </w:hyperlink>
      <w:r w:rsidRPr="00351CCB">
        <w:rPr>
          <w:rFonts w:ascii="Arial" w:hAnsi="Arial" w:cs="Arial"/>
          <w:sz w:val="20"/>
        </w:rPr>
        <w:t> may direct as a means of enforcing these requirements, including sanctions for noncompliance.  If Contractor becomes involved in or is threatened with litigation with a </w:t>
      </w:r>
      <w:hyperlink r:id="rId52" w:tooltip="subcontractor" w:history="1">
        <w:r w:rsidRPr="00351CCB">
          <w:rPr>
            <w:rStyle w:val="Hyperlink"/>
            <w:rFonts w:ascii="Arial" w:hAnsi="Arial" w:cs="Arial"/>
            <w:color w:val="auto"/>
            <w:sz w:val="20"/>
            <w:u w:val="none"/>
          </w:rPr>
          <w:t>subcontractor</w:t>
        </w:r>
      </w:hyperlink>
      <w:r w:rsidRPr="00351CCB">
        <w:rPr>
          <w:rFonts w:ascii="Arial" w:hAnsi="Arial" w:cs="Arial"/>
          <w:sz w:val="20"/>
        </w:rPr>
        <w:t> or vendor as a result of direction by the </w:t>
      </w:r>
      <w:hyperlink r:id="rId53" w:tooltip="administering agency" w:history="1">
        <w:r w:rsidRPr="00351CCB">
          <w:rPr>
            <w:rStyle w:val="Hyperlink"/>
            <w:rFonts w:ascii="Arial" w:hAnsi="Arial" w:cs="Arial"/>
            <w:color w:val="auto"/>
            <w:sz w:val="20"/>
            <w:u w:val="none"/>
          </w:rPr>
          <w:t>administering agency</w:t>
        </w:r>
      </w:hyperlink>
      <w:r w:rsidRPr="00351CCB">
        <w:rPr>
          <w:rFonts w:ascii="Arial" w:hAnsi="Arial" w:cs="Arial"/>
          <w:sz w:val="20"/>
        </w:rPr>
        <w:t>, then Contractor may request that the </w:t>
      </w:r>
      <w:hyperlink r:id="rId54" w:tooltip="United States" w:history="1">
        <w:r w:rsidRPr="00351CCB">
          <w:rPr>
            <w:rStyle w:val="Hyperlink"/>
            <w:rFonts w:ascii="Arial" w:hAnsi="Arial" w:cs="Arial"/>
            <w:color w:val="auto"/>
            <w:sz w:val="20"/>
            <w:u w:val="none"/>
          </w:rPr>
          <w:t>United States</w:t>
        </w:r>
      </w:hyperlink>
      <w:r w:rsidRPr="00351CCB">
        <w:rPr>
          <w:rFonts w:ascii="Arial" w:hAnsi="Arial" w:cs="Arial"/>
          <w:sz w:val="20"/>
        </w:rPr>
        <w:t xml:space="preserve"> enter into the litigation to protect the interests of the </w:t>
      </w:r>
      <w:hyperlink r:id="rId55" w:tooltip="United States" w:history="1">
        <w:r w:rsidRPr="00351CCB">
          <w:rPr>
            <w:rStyle w:val="Hyperlink"/>
            <w:rFonts w:ascii="Arial" w:hAnsi="Arial" w:cs="Arial"/>
            <w:color w:val="auto"/>
            <w:sz w:val="20"/>
            <w:u w:val="none"/>
          </w:rPr>
          <w:t>United States</w:t>
        </w:r>
      </w:hyperlink>
      <w:r w:rsidRPr="00351CCB">
        <w:rPr>
          <w:rFonts w:ascii="Arial" w:hAnsi="Arial" w:cs="Arial"/>
          <w:sz w:val="20"/>
        </w:rPr>
        <w:t>.</w:t>
      </w:r>
    </w:p>
    <w:p w:rsidR="001B0DE5" w:rsidRPr="00351CCB" w:rsidRDefault="001B0DE5" w:rsidP="006A1534">
      <w:pPr>
        <w:pStyle w:val="LegalH5L2"/>
        <w:keepLines/>
        <w:numPr>
          <w:ilvl w:val="0"/>
          <w:numId w:val="0"/>
        </w:numPr>
        <w:tabs>
          <w:tab w:val="num" w:pos="1080"/>
        </w:tabs>
        <w:spacing w:after="120"/>
        <w:ind w:left="360"/>
        <w:jc w:val="both"/>
        <w:rPr>
          <w:rFonts w:ascii="Arial" w:hAnsi="Arial" w:cs="Arial"/>
          <w:sz w:val="20"/>
        </w:rPr>
      </w:pPr>
      <w:r w:rsidRPr="00351CCB">
        <w:rPr>
          <w:rFonts w:ascii="Arial" w:hAnsi="Arial" w:cs="Arial"/>
          <w:sz w:val="20"/>
        </w:rPr>
        <w:lastRenderedPageBreak/>
        <w:t xml:space="preserve">In the event that Contractor does not comply with any nondiscrimination clause under this Exhibit </w:t>
      </w:r>
      <w:r w:rsidR="005F1EBB" w:rsidRPr="00351CCB">
        <w:rPr>
          <w:rFonts w:ascii="Arial" w:hAnsi="Arial" w:cs="Arial"/>
          <w:sz w:val="20"/>
        </w:rPr>
        <w:fldChar w:fldCharType="begin">
          <w:ffData>
            <w:name w:val="Text4"/>
            <w:enabled/>
            <w:calcOnExit w:val="0"/>
            <w:textInput/>
          </w:ffData>
        </w:fldChar>
      </w:r>
      <w:bookmarkStart w:id="5" w:name="Text4"/>
      <w:r w:rsidR="005F1EBB" w:rsidRPr="00351CCB">
        <w:rPr>
          <w:rFonts w:ascii="Arial" w:hAnsi="Arial" w:cs="Arial"/>
          <w:sz w:val="20"/>
        </w:rPr>
        <w:instrText xml:space="preserve"> FORMTEXT </w:instrText>
      </w:r>
      <w:r w:rsidR="005F1EBB" w:rsidRPr="00351CCB">
        <w:rPr>
          <w:rFonts w:ascii="Arial" w:hAnsi="Arial" w:cs="Arial"/>
          <w:sz w:val="20"/>
        </w:rPr>
      </w:r>
      <w:r w:rsidR="005F1EBB" w:rsidRPr="00351CCB">
        <w:rPr>
          <w:rFonts w:ascii="Arial" w:hAnsi="Arial" w:cs="Arial"/>
          <w:sz w:val="20"/>
        </w:rPr>
        <w:fldChar w:fldCharType="separate"/>
      </w:r>
      <w:r w:rsidR="005F1EBB" w:rsidRPr="00351CCB">
        <w:rPr>
          <w:rFonts w:ascii="Arial" w:hAnsi="Arial" w:cs="Arial"/>
          <w:noProof/>
          <w:sz w:val="20"/>
        </w:rPr>
        <w:t> </w:t>
      </w:r>
      <w:r w:rsidR="005F1EBB" w:rsidRPr="00351CCB">
        <w:rPr>
          <w:rFonts w:ascii="Arial" w:hAnsi="Arial" w:cs="Arial"/>
          <w:noProof/>
          <w:sz w:val="20"/>
        </w:rPr>
        <w:t> </w:t>
      </w:r>
      <w:r w:rsidR="005F1EBB" w:rsidRPr="00351CCB">
        <w:rPr>
          <w:rFonts w:ascii="Arial" w:hAnsi="Arial" w:cs="Arial"/>
          <w:noProof/>
          <w:sz w:val="20"/>
        </w:rPr>
        <w:t> </w:t>
      </w:r>
      <w:r w:rsidR="005F1EBB" w:rsidRPr="00351CCB">
        <w:rPr>
          <w:rFonts w:ascii="Arial" w:hAnsi="Arial" w:cs="Arial"/>
          <w:noProof/>
          <w:sz w:val="20"/>
        </w:rPr>
        <w:t> </w:t>
      </w:r>
      <w:r w:rsidR="005F1EBB" w:rsidRPr="00351CCB">
        <w:rPr>
          <w:rFonts w:ascii="Arial" w:hAnsi="Arial" w:cs="Arial"/>
          <w:noProof/>
          <w:sz w:val="20"/>
        </w:rPr>
        <w:t> </w:t>
      </w:r>
      <w:r w:rsidR="005F1EBB" w:rsidRPr="00351CCB">
        <w:rPr>
          <w:rFonts w:ascii="Arial" w:hAnsi="Arial" w:cs="Arial"/>
          <w:sz w:val="20"/>
        </w:rPr>
        <w:fldChar w:fldCharType="end"/>
      </w:r>
      <w:bookmarkEnd w:id="5"/>
      <w:r w:rsidRPr="00351CCB">
        <w:rPr>
          <w:rFonts w:ascii="Arial" w:hAnsi="Arial" w:cs="Arial"/>
          <w:sz w:val="20"/>
        </w:rPr>
        <w:t xml:space="preserve"> or the </w:t>
      </w:r>
      <w:r w:rsidR="006B040A">
        <w:rPr>
          <w:rFonts w:ascii="Arial" w:hAnsi="Arial" w:cs="Arial"/>
          <w:sz w:val="20"/>
        </w:rPr>
        <w:t>Contract</w:t>
      </w:r>
      <w:r w:rsidRPr="00351CCB">
        <w:rPr>
          <w:rFonts w:ascii="Arial" w:hAnsi="Arial" w:cs="Arial"/>
          <w:sz w:val="20"/>
        </w:rPr>
        <w:t xml:space="preserve">, </w:t>
      </w:r>
      <w:r w:rsidR="006A1534">
        <w:rPr>
          <w:rFonts w:ascii="Arial" w:hAnsi="Arial" w:cs="Arial"/>
          <w:sz w:val="20"/>
        </w:rPr>
        <w:t>District</w:t>
      </w:r>
      <w:r w:rsidR="006A1534" w:rsidRPr="00351CCB">
        <w:rPr>
          <w:rFonts w:ascii="Arial" w:hAnsi="Arial" w:cs="Arial"/>
          <w:sz w:val="20"/>
        </w:rPr>
        <w:t xml:space="preserve"> </w:t>
      </w:r>
      <w:r w:rsidRPr="00351CCB">
        <w:rPr>
          <w:rFonts w:ascii="Arial" w:hAnsi="Arial" w:cs="Arial"/>
          <w:sz w:val="20"/>
        </w:rPr>
        <w:t xml:space="preserve">may cancel, terminate, or suspend the </w:t>
      </w:r>
      <w:r w:rsidR="006B040A">
        <w:rPr>
          <w:rFonts w:ascii="Arial" w:hAnsi="Arial" w:cs="Arial"/>
          <w:sz w:val="20"/>
        </w:rPr>
        <w:t>Contract</w:t>
      </w:r>
      <w:r w:rsidR="006B040A" w:rsidRPr="00351CCB">
        <w:rPr>
          <w:rFonts w:ascii="Arial" w:hAnsi="Arial" w:cs="Arial"/>
          <w:sz w:val="20"/>
        </w:rPr>
        <w:t xml:space="preserve"> </w:t>
      </w:r>
      <w:r w:rsidRPr="00351CCB">
        <w:rPr>
          <w:rFonts w:ascii="Arial" w:hAnsi="Arial" w:cs="Arial"/>
          <w:sz w:val="20"/>
        </w:rPr>
        <w:t>in whole or in part and Contractor may be declared ineligible for further </w:t>
      </w:r>
      <w:hyperlink r:id="rId56" w:tooltip="Government contracts" w:history="1">
        <w:r w:rsidR="001B64D4" w:rsidRPr="00351CCB">
          <w:rPr>
            <w:rStyle w:val="Hyperlink"/>
            <w:rFonts w:ascii="Arial" w:hAnsi="Arial" w:cs="Arial"/>
            <w:color w:val="auto"/>
            <w:sz w:val="20"/>
            <w:u w:val="none"/>
          </w:rPr>
          <w:t>government</w:t>
        </w:r>
        <w:r w:rsidRPr="00351CCB">
          <w:rPr>
            <w:rStyle w:val="Hyperlink"/>
            <w:rFonts w:ascii="Arial" w:hAnsi="Arial" w:cs="Arial"/>
            <w:color w:val="auto"/>
            <w:sz w:val="20"/>
            <w:u w:val="none"/>
          </w:rPr>
          <w:t xml:space="preserve"> contracts</w:t>
        </w:r>
      </w:hyperlink>
      <w:r w:rsidRPr="00351CCB">
        <w:rPr>
          <w:rFonts w:ascii="Arial" w:hAnsi="Arial" w:cs="Arial"/>
          <w:sz w:val="20"/>
        </w:rPr>
        <w:t> or federally assisted </w:t>
      </w:r>
      <w:hyperlink r:id="rId57" w:tooltip="construction" w:history="1">
        <w:r w:rsidRPr="00351CCB">
          <w:rPr>
            <w:rStyle w:val="Hyperlink"/>
            <w:rFonts w:ascii="Arial" w:hAnsi="Arial" w:cs="Arial"/>
            <w:color w:val="auto"/>
            <w:sz w:val="20"/>
            <w:u w:val="none"/>
          </w:rPr>
          <w:t>construction</w:t>
        </w:r>
      </w:hyperlink>
      <w:r w:rsidRPr="00351CCB">
        <w:rPr>
          <w:rFonts w:ascii="Arial" w:hAnsi="Arial" w:cs="Arial"/>
          <w:sz w:val="20"/>
        </w:rPr>
        <w:t> </w:t>
      </w:r>
      <w:hyperlink r:id="rId58" w:tooltip="contracts" w:history="1">
        <w:r w:rsidRPr="00351CCB">
          <w:rPr>
            <w:rStyle w:val="Hyperlink"/>
            <w:rFonts w:ascii="Arial" w:hAnsi="Arial" w:cs="Arial"/>
            <w:color w:val="auto"/>
            <w:sz w:val="20"/>
            <w:u w:val="none"/>
          </w:rPr>
          <w:t>contracts</w:t>
        </w:r>
      </w:hyperlink>
      <w:r w:rsidRPr="00351CCB">
        <w:rPr>
          <w:rFonts w:ascii="Arial" w:hAnsi="Arial" w:cs="Arial"/>
          <w:sz w:val="20"/>
        </w:rPr>
        <w:t> in accordance with procedures authorized in </w:t>
      </w:r>
      <w:hyperlink r:id="rId59" w:tooltip="Executive Order 11246" w:history="1">
        <w:r w:rsidRPr="00351CCB">
          <w:rPr>
            <w:rStyle w:val="Hyperlink"/>
            <w:rFonts w:ascii="Arial" w:hAnsi="Arial" w:cs="Arial"/>
            <w:color w:val="auto"/>
            <w:sz w:val="20"/>
            <w:u w:val="none"/>
          </w:rPr>
          <w:t>Executive Order 11246</w:t>
        </w:r>
      </w:hyperlink>
      <w:r w:rsidRPr="00351CCB">
        <w:rPr>
          <w:rFonts w:ascii="Arial" w:hAnsi="Arial" w:cs="Arial"/>
          <w:sz w:val="20"/>
        </w:rPr>
        <w:t> of September 24, 1965.  Additional sanctions may be imposed and remedies invoked as provided in that executive order; by rule, regulation, or order of the </w:t>
      </w:r>
      <w:hyperlink r:id="rId60" w:tooltip="Secretary" w:history="1">
        <w:r w:rsidRPr="00351CCB">
          <w:rPr>
            <w:rStyle w:val="Hyperlink"/>
            <w:rFonts w:ascii="Arial" w:hAnsi="Arial" w:cs="Arial"/>
            <w:color w:val="auto"/>
            <w:sz w:val="20"/>
            <w:u w:val="none"/>
          </w:rPr>
          <w:t>Secretary</w:t>
        </w:r>
      </w:hyperlink>
      <w:r w:rsidRPr="00351CCB">
        <w:rPr>
          <w:rFonts w:ascii="Arial" w:hAnsi="Arial" w:cs="Arial"/>
          <w:sz w:val="20"/>
        </w:rPr>
        <w:t> of Labor; or as otherwise provided by law.</w:t>
      </w:r>
    </w:p>
    <w:p w:rsidR="001B0DE5" w:rsidRPr="00351CCB" w:rsidRDefault="008D1713" w:rsidP="006A1534">
      <w:pPr>
        <w:pStyle w:val="LegalH5L1"/>
        <w:tabs>
          <w:tab w:val="clear" w:pos="720"/>
          <w:tab w:val="num" w:pos="360"/>
        </w:tabs>
        <w:spacing w:after="120"/>
        <w:ind w:left="360" w:hanging="360"/>
        <w:jc w:val="both"/>
        <w:rPr>
          <w:rFonts w:ascii="Arial" w:hAnsi="Arial" w:cs="Arial"/>
          <w:sz w:val="20"/>
        </w:rPr>
      </w:pPr>
      <w:r>
        <w:rPr>
          <w:rFonts w:ascii="Arial" w:hAnsi="Arial" w:cs="Arial"/>
          <w:b/>
          <w:sz w:val="20"/>
        </w:rPr>
        <w:fldChar w:fldCharType="begin">
          <w:ffData>
            <w:name w:val="Check1"/>
            <w:enabled/>
            <w:calcOnExit w:val="0"/>
            <w:checkBox>
              <w:sizeAuto/>
              <w:default w:val="0"/>
            </w:checkBox>
          </w:ffData>
        </w:fldChar>
      </w:r>
      <w:bookmarkStart w:id="6" w:name="Check1"/>
      <w:r>
        <w:rPr>
          <w:rFonts w:ascii="Arial" w:hAnsi="Arial" w:cs="Arial"/>
          <w:b/>
          <w:sz w:val="20"/>
        </w:rPr>
        <w:instrText xml:space="preserve"> FORMCHECKBOX </w:instrText>
      </w:r>
      <w:r w:rsidR="00736763">
        <w:rPr>
          <w:rFonts w:ascii="Arial" w:hAnsi="Arial" w:cs="Arial"/>
          <w:b/>
          <w:sz w:val="20"/>
        </w:rPr>
      </w:r>
      <w:r w:rsidR="00736763">
        <w:rPr>
          <w:rFonts w:ascii="Arial" w:hAnsi="Arial" w:cs="Arial"/>
          <w:b/>
          <w:sz w:val="20"/>
        </w:rPr>
        <w:fldChar w:fldCharType="separate"/>
      </w:r>
      <w:r>
        <w:rPr>
          <w:rFonts w:ascii="Arial" w:hAnsi="Arial" w:cs="Arial"/>
          <w:b/>
          <w:sz w:val="20"/>
        </w:rPr>
        <w:fldChar w:fldCharType="end"/>
      </w:r>
      <w:bookmarkEnd w:id="6"/>
      <w:r>
        <w:rPr>
          <w:rFonts w:ascii="Arial" w:hAnsi="Arial" w:cs="Arial"/>
          <w:b/>
          <w:sz w:val="20"/>
        </w:rPr>
        <w:t xml:space="preserve"> </w:t>
      </w:r>
      <w:r w:rsidR="001B0DE5" w:rsidRPr="00351CCB">
        <w:rPr>
          <w:rFonts w:ascii="Arial" w:hAnsi="Arial" w:cs="Arial"/>
          <w:b/>
          <w:sz w:val="20"/>
        </w:rPr>
        <w:t>Prevailing Wages.</w:t>
      </w:r>
      <w:r w:rsidR="001B0DE5" w:rsidRPr="00351CCB">
        <w:rPr>
          <w:rFonts w:ascii="Arial" w:hAnsi="Arial" w:cs="Arial"/>
          <w:sz w:val="20"/>
        </w:rPr>
        <w:t xml:space="preserve">  </w:t>
      </w:r>
      <w:r w:rsidR="006B040A">
        <w:rPr>
          <w:rFonts w:ascii="Arial" w:hAnsi="Arial" w:cs="Arial"/>
          <w:sz w:val="20"/>
        </w:rPr>
        <w:t>[</w:t>
      </w:r>
      <w:r w:rsidRPr="006A1534">
        <w:rPr>
          <w:rFonts w:ascii="Arial" w:hAnsi="Arial" w:cs="Arial"/>
          <w:sz w:val="20"/>
          <w:highlight w:val="lightGray"/>
        </w:rPr>
        <w:t>CHECK THE BOX</w:t>
      </w:r>
      <w:r w:rsidR="001B0DE5" w:rsidRPr="006A1534">
        <w:rPr>
          <w:rFonts w:ascii="Arial" w:hAnsi="Arial" w:cs="Arial"/>
          <w:sz w:val="20"/>
          <w:highlight w:val="lightGray"/>
        </w:rPr>
        <w:t xml:space="preserve"> ONLY </w:t>
      </w:r>
      <w:r w:rsidRPr="006A1534">
        <w:rPr>
          <w:rFonts w:ascii="Arial" w:hAnsi="Arial" w:cs="Arial"/>
          <w:sz w:val="20"/>
          <w:highlight w:val="lightGray"/>
        </w:rPr>
        <w:t>I</w:t>
      </w:r>
      <w:r w:rsidR="001B0DE5" w:rsidRPr="006A1534">
        <w:rPr>
          <w:rFonts w:ascii="Arial" w:hAnsi="Arial" w:cs="Arial"/>
          <w:sz w:val="20"/>
          <w:highlight w:val="lightGray"/>
        </w:rPr>
        <w:t>F THE FEDERAL PROGRAM LEGISLATION REQUIRES COMPLIANCE WITH THE DAVIS-BACON ACT</w:t>
      </w:r>
      <w:r w:rsidR="001B0DE5" w:rsidRPr="00351CCB">
        <w:rPr>
          <w:rFonts w:ascii="Arial" w:hAnsi="Arial" w:cs="Arial"/>
          <w:sz w:val="20"/>
        </w:rPr>
        <w:t xml:space="preserve">] If the </w:t>
      </w:r>
      <w:r w:rsidR="006B040A">
        <w:rPr>
          <w:rFonts w:ascii="Arial" w:hAnsi="Arial" w:cs="Arial"/>
          <w:sz w:val="20"/>
        </w:rPr>
        <w:t>Contract</w:t>
      </w:r>
      <w:r w:rsidR="006B040A" w:rsidRPr="00351CCB">
        <w:rPr>
          <w:rFonts w:ascii="Arial" w:hAnsi="Arial" w:cs="Arial"/>
          <w:sz w:val="20"/>
        </w:rPr>
        <w:t xml:space="preserve"> </w:t>
      </w:r>
      <w:r w:rsidR="001B0DE5" w:rsidRPr="00351CCB">
        <w:rPr>
          <w:rFonts w:ascii="Arial" w:hAnsi="Arial" w:cs="Arial"/>
          <w:sz w:val="20"/>
        </w:rPr>
        <w:t>is for a prime construction contract for more than $2,000, then Contractor must comply with the Davis-Bacon Act (40 USC §§ 3141 to 3148), as supplemented by 29 CFR Part 5.  These requirements include but are not limited to:</w:t>
      </w:r>
    </w:p>
    <w:p w:rsidR="001B0DE5" w:rsidRPr="00351CCB" w:rsidRDefault="001B0DE5" w:rsidP="006A1534">
      <w:pPr>
        <w:pStyle w:val="LegalH5L2"/>
        <w:tabs>
          <w:tab w:val="num" w:pos="720"/>
        </w:tabs>
        <w:spacing w:after="120"/>
        <w:ind w:left="720" w:hanging="360"/>
        <w:jc w:val="both"/>
        <w:rPr>
          <w:rFonts w:ascii="Arial" w:hAnsi="Arial" w:cs="Arial"/>
          <w:sz w:val="20"/>
        </w:rPr>
      </w:pPr>
      <w:r w:rsidRPr="00351CCB">
        <w:rPr>
          <w:rFonts w:ascii="Arial" w:hAnsi="Arial" w:cs="Arial"/>
          <w:sz w:val="20"/>
        </w:rPr>
        <w:t>Paying prevailing wages to laborers and mechanics in accordance with wage determinations made by the Secretary of Labor;</w:t>
      </w:r>
    </w:p>
    <w:p w:rsidR="001B0DE5" w:rsidRPr="00351CCB" w:rsidRDefault="001B0DE5" w:rsidP="006A1534">
      <w:pPr>
        <w:pStyle w:val="LegalH5L2"/>
        <w:tabs>
          <w:tab w:val="num" w:pos="720"/>
        </w:tabs>
        <w:spacing w:after="120"/>
        <w:ind w:left="720" w:hanging="360"/>
        <w:jc w:val="both"/>
        <w:rPr>
          <w:rFonts w:ascii="Arial" w:hAnsi="Arial" w:cs="Arial"/>
          <w:sz w:val="20"/>
        </w:rPr>
      </w:pPr>
      <w:r w:rsidRPr="00351CCB">
        <w:rPr>
          <w:rFonts w:ascii="Arial" w:hAnsi="Arial" w:cs="Arial"/>
          <w:sz w:val="20"/>
        </w:rPr>
        <w:t>Paying wages at least once every week; and</w:t>
      </w:r>
    </w:p>
    <w:p w:rsidR="001B0DE5" w:rsidRPr="00351CCB" w:rsidRDefault="001B0DE5" w:rsidP="006A1534">
      <w:pPr>
        <w:pStyle w:val="LegalH5L2"/>
        <w:tabs>
          <w:tab w:val="num" w:pos="720"/>
        </w:tabs>
        <w:spacing w:after="120"/>
        <w:ind w:left="720" w:hanging="360"/>
        <w:jc w:val="both"/>
        <w:rPr>
          <w:rFonts w:ascii="Arial" w:hAnsi="Arial" w:cs="Arial"/>
          <w:sz w:val="20"/>
        </w:rPr>
      </w:pPr>
      <w:r w:rsidRPr="00351CCB">
        <w:rPr>
          <w:rFonts w:ascii="Arial" w:hAnsi="Arial" w:cs="Arial"/>
          <w:sz w:val="20"/>
        </w:rPr>
        <w:t>Complying with the Copeland “Anti-Kickback” Act (40 USC § 3145), as supplemented by the regulations set forth in 29 CFR Part 3, which prohibits Contractor from inducing any person employed on the construction work to give up any compensation to which that employee is entitled.</w:t>
      </w:r>
    </w:p>
    <w:p w:rsidR="001B0DE5" w:rsidRPr="00351CCB" w:rsidRDefault="008D1713" w:rsidP="006A1534">
      <w:pPr>
        <w:pStyle w:val="LegalH5L2"/>
        <w:tabs>
          <w:tab w:val="num" w:pos="720"/>
        </w:tabs>
        <w:spacing w:after="120"/>
        <w:ind w:left="720" w:hanging="360"/>
        <w:jc w:val="both"/>
        <w:rPr>
          <w:rFonts w:ascii="Arial" w:hAnsi="Arial" w:cs="Arial"/>
          <w:sz w:val="20"/>
        </w:rPr>
      </w:pPr>
      <w:r>
        <w:rPr>
          <w:rFonts w:ascii="Arial" w:hAnsi="Arial" w:cs="Arial"/>
          <w:sz w:val="20"/>
        </w:rPr>
        <w:fldChar w:fldCharType="begin">
          <w:ffData>
            <w:name w:val="Check2"/>
            <w:enabled/>
            <w:calcOnExit w:val="0"/>
            <w:checkBox>
              <w:sizeAuto/>
              <w:default w:val="0"/>
            </w:checkBox>
          </w:ffData>
        </w:fldChar>
      </w:r>
      <w:bookmarkStart w:id="7" w:name="Check2"/>
      <w:r>
        <w:rPr>
          <w:rFonts w:ascii="Arial" w:hAnsi="Arial" w:cs="Arial"/>
          <w:sz w:val="20"/>
        </w:rPr>
        <w:instrText xml:space="preserve"> FORMCHECKBOX </w:instrText>
      </w:r>
      <w:r w:rsidR="00736763">
        <w:rPr>
          <w:rFonts w:ascii="Arial" w:hAnsi="Arial" w:cs="Arial"/>
          <w:sz w:val="20"/>
        </w:rPr>
      </w:r>
      <w:r w:rsidR="00736763">
        <w:rPr>
          <w:rFonts w:ascii="Arial" w:hAnsi="Arial" w:cs="Arial"/>
          <w:sz w:val="20"/>
        </w:rPr>
        <w:fldChar w:fldCharType="separate"/>
      </w:r>
      <w:r>
        <w:rPr>
          <w:rFonts w:ascii="Arial" w:hAnsi="Arial" w:cs="Arial"/>
          <w:sz w:val="20"/>
        </w:rPr>
        <w:fldChar w:fldCharType="end"/>
      </w:r>
      <w:bookmarkEnd w:id="7"/>
      <w:r>
        <w:rPr>
          <w:rFonts w:ascii="Arial" w:hAnsi="Arial" w:cs="Arial"/>
          <w:sz w:val="20"/>
        </w:rPr>
        <w:t xml:space="preserve"> </w:t>
      </w:r>
      <w:r w:rsidR="001B0DE5" w:rsidRPr="00351CCB">
        <w:rPr>
          <w:rFonts w:ascii="Arial" w:hAnsi="Arial" w:cs="Arial"/>
          <w:sz w:val="20"/>
        </w:rPr>
        <w:t>[</w:t>
      </w:r>
      <w:r>
        <w:rPr>
          <w:rFonts w:ascii="Arial" w:hAnsi="Arial" w:cs="Arial"/>
          <w:sz w:val="20"/>
          <w:highlight w:val="lightGray"/>
        </w:rPr>
        <w:t>CHECK THE BOX</w:t>
      </w:r>
      <w:r w:rsidRPr="00351CCB">
        <w:rPr>
          <w:rFonts w:ascii="Arial" w:hAnsi="Arial" w:cs="Arial"/>
          <w:sz w:val="20"/>
          <w:highlight w:val="lightGray"/>
        </w:rPr>
        <w:t xml:space="preserve"> </w:t>
      </w:r>
      <w:r w:rsidR="001B0DE5" w:rsidRPr="00351CCB">
        <w:rPr>
          <w:rFonts w:ascii="Arial" w:hAnsi="Arial" w:cs="Arial"/>
          <w:sz w:val="20"/>
          <w:highlight w:val="lightGray"/>
        </w:rPr>
        <w:t>ONLY IF THE CONTRACT IS ALSO SUBJECT TO OREGON PREVAILING WAGES</w:t>
      </w:r>
      <w:r w:rsidR="001B0DE5" w:rsidRPr="00351CCB">
        <w:rPr>
          <w:rFonts w:ascii="Arial" w:hAnsi="Arial" w:cs="Arial"/>
          <w:sz w:val="20"/>
        </w:rPr>
        <w:t xml:space="preserve">] Payment of State of Oregon prevailing wages under ORS 279C.800 to .870 is also required under this Contract.  Contractor shall pay the higher of the applicable state or federal prevailing rate of wage as provided in the body of the </w:t>
      </w:r>
      <w:r w:rsidR="006A1534">
        <w:rPr>
          <w:rFonts w:ascii="Arial" w:hAnsi="Arial" w:cs="Arial"/>
          <w:sz w:val="20"/>
        </w:rPr>
        <w:t>Contract</w:t>
      </w:r>
      <w:r w:rsidR="001B0DE5" w:rsidRPr="00351CCB">
        <w:rPr>
          <w:rFonts w:ascii="Arial" w:hAnsi="Arial" w:cs="Arial"/>
          <w:sz w:val="20"/>
        </w:rPr>
        <w:t xml:space="preserve">.    </w:t>
      </w:r>
    </w:p>
    <w:p w:rsidR="001B0DE5" w:rsidRPr="00351CCB" w:rsidRDefault="001B0DE5" w:rsidP="006A1534">
      <w:pPr>
        <w:pStyle w:val="LegalH5L1"/>
        <w:tabs>
          <w:tab w:val="clear" w:pos="720"/>
          <w:tab w:val="num" w:pos="360"/>
        </w:tabs>
        <w:spacing w:after="120"/>
        <w:ind w:left="360" w:hanging="360"/>
        <w:jc w:val="both"/>
        <w:rPr>
          <w:rFonts w:ascii="Arial" w:hAnsi="Arial" w:cs="Arial"/>
          <w:sz w:val="20"/>
        </w:rPr>
      </w:pPr>
      <w:r w:rsidRPr="00351CCB">
        <w:rPr>
          <w:rFonts w:ascii="Arial" w:hAnsi="Arial" w:cs="Arial"/>
          <w:b/>
          <w:sz w:val="20"/>
        </w:rPr>
        <w:t>Overtime Pay; Safety.</w:t>
      </w:r>
      <w:r w:rsidRPr="00351CCB">
        <w:rPr>
          <w:rFonts w:ascii="Arial" w:hAnsi="Arial" w:cs="Arial"/>
          <w:sz w:val="20"/>
        </w:rPr>
        <w:t xml:space="preserve">  If the </w:t>
      </w:r>
      <w:r w:rsidR="006A1534">
        <w:rPr>
          <w:rFonts w:ascii="Arial" w:hAnsi="Arial" w:cs="Arial"/>
          <w:sz w:val="20"/>
        </w:rPr>
        <w:t>Contract</w:t>
      </w:r>
      <w:r w:rsidR="006A1534" w:rsidRPr="00351CCB">
        <w:rPr>
          <w:rFonts w:ascii="Arial" w:hAnsi="Arial" w:cs="Arial"/>
          <w:sz w:val="20"/>
        </w:rPr>
        <w:t xml:space="preserve"> </w:t>
      </w:r>
      <w:r w:rsidRPr="00351CCB">
        <w:rPr>
          <w:rFonts w:ascii="Arial" w:hAnsi="Arial" w:cs="Arial"/>
          <w:sz w:val="20"/>
        </w:rPr>
        <w:t>involves employment of mechanics or laborers and is for more than $100,000, then Contractor must comply with 40 USC §§ 3702 and 3704, as supplemented by 29 CFR Part 5.  These requirements include but are not limited to:</w:t>
      </w:r>
    </w:p>
    <w:p w:rsidR="001B0DE5" w:rsidRPr="00351CCB" w:rsidRDefault="001B0DE5" w:rsidP="006A1534">
      <w:pPr>
        <w:pStyle w:val="LegalH5L2"/>
        <w:tabs>
          <w:tab w:val="num" w:pos="720"/>
        </w:tabs>
        <w:spacing w:after="120"/>
        <w:ind w:left="720" w:hanging="360"/>
        <w:jc w:val="both"/>
        <w:rPr>
          <w:rFonts w:ascii="Arial" w:hAnsi="Arial" w:cs="Arial"/>
          <w:sz w:val="20"/>
        </w:rPr>
      </w:pPr>
      <w:r w:rsidRPr="00351CCB">
        <w:rPr>
          <w:rFonts w:ascii="Arial" w:hAnsi="Arial" w:cs="Arial"/>
          <w:sz w:val="20"/>
        </w:rPr>
        <w:t>Paying each laborer or mechanic one and a half times the basic rate of pay for all hours that the laborer or mechanic works in excess of 40 hours in any one week; and</w:t>
      </w:r>
    </w:p>
    <w:p w:rsidR="001B0DE5" w:rsidRPr="00351CCB" w:rsidRDefault="001B0DE5" w:rsidP="006A1534">
      <w:pPr>
        <w:pStyle w:val="LegalH5L2"/>
        <w:tabs>
          <w:tab w:val="num" w:pos="720"/>
        </w:tabs>
        <w:spacing w:after="120"/>
        <w:ind w:left="720" w:hanging="360"/>
        <w:jc w:val="both"/>
        <w:rPr>
          <w:rFonts w:ascii="Arial" w:hAnsi="Arial" w:cs="Arial"/>
          <w:sz w:val="20"/>
        </w:rPr>
      </w:pPr>
      <w:r w:rsidRPr="00351CCB">
        <w:rPr>
          <w:rFonts w:ascii="Arial" w:hAnsi="Arial" w:cs="Arial"/>
          <w:sz w:val="20"/>
        </w:rPr>
        <w:t>Not requiring any mechanic or laborer to work in surroundings or under working conditions that are unsanitary, hazardous, or dangerous to health or safety.</w:t>
      </w:r>
    </w:p>
    <w:p w:rsidR="001B0DE5" w:rsidRPr="00351CCB" w:rsidRDefault="001B0DE5" w:rsidP="006A1534">
      <w:pPr>
        <w:pStyle w:val="LegalH5L1"/>
        <w:tabs>
          <w:tab w:val="clear" w:pos="720"/>
          <w:tab w:val="num" w:pos="360"/>
        </w:tabs>
        <w:spacing w:after="120"/>
        <w:ind w:left="360" w:hanging="360"/>
        <w:jc w:val="both"/>
        <w:rPr>
          <w:rFonts w:ascii="Arial" w:hAnsi="Arial" w:cs="Arial"/>
          <w:color w:val="000000"/>
          <w:sz w:val="20"/>
        </w:rPr>
      </w:pPr>
      <w:r w:rsidRPr="00351CCB">
        <w:rPr>
          <w:rFonts w:ascii="Arial" w:hAnsi="Arial" w:cs="Arial"/>
          <w:b/>
          <w:sz w:val="20"/>
        </w:rPr>
        <w:t>Rights to Inventions.</w:t>
      </w:r>
      <w:r w:rsidRPr="00351CCB">
        <w:rPr>
          <w:rFonts w:ascii="Arial" w:hAnsi="Arial" w:cs="Arial"/>
          <w:sz w:val="20"/>
        </w:rPr>
        <w:t xml:space="preserve">  If the </w:t>
      </w:r>
      <w:r w:rsidR="006A1534">
        <w:rPr>
          <w:rFonts w:ascii="Arial" w:hAnsi="Arial" w:cs="Arial"/>
          <w:sz w:val="20"/>
        </w:rPr>
        <w:t>Contract</w:t>
      </w:r>
      <w:r w:rsidR="006A1534" w:rsidRPr="00351CCB">
        <w:rPr>
          <w:rFonts w:ascii="Arial" w:hAnsi="Arial" w:cs="Arial"/>
          <w:sz w:val="20"/>
        </w:rPr>
        <w:t xml:space="preserve"> </w:t>
      </w:r>
      <w:r w:rsidRPr="00351CCB">
        <w:rPr>
          <w:rFonts w:ascii="Arial" w:hAnsi="Arial" w:cs="Arial"/>
          <w:sz w:val="20"/>
        </w:rPr>
        <w:t>is a “funding agreement” as defined under 37 CFR</w:t>
      </w:r>
      <w:r w:rsidRPr="00351CCB">
        <w:rPr>
          <w:rFonts w:ascii="Arial" w:hAnsi="Arial" w:cs="Arial"/>
          <w:color w:val="000000"/>
          <w:sz w:val="20"/>
        </w:rPr>
        <w:t xml:space="preserve"> § 401.2 and the recipient or subrecipient wishes to enter into a contract with a small business firm or nonprofit organization regarding the substitution of parties, assignment, or performance of experimental, developmental, or research work under the funding agreement, then the funding recipient or subrecipient must comply with the requirements of 37 CFR Part 401 and any additional implementing regulations.</w:t>
      </w:r>
    </w:p>
    <w:p w:rsidR="001B0DE5" w:rsidRPr="00351CCB" w:rsidRDefault="001B0DE5" w:rsidP="006A1534">
      <w:pPr>
        <w:pStyle w:val="LegalH5L1"/>
        <w:tabs>
          <w:tab w:val="clear" w:pos="720"/>
          <w:tab w:val="num" w:pos="360"/>
        </w:tabs>
        <w:spacing w:after="120"/>
        <w:ind w:left="360" w:hanging="360"/>
        <w:jc w:val="both"/>
        <w:rPr>
          <w:rFonts w:ascii="Arial" w:hAnsi="Arial" w:cs="Arial"/>
          <w:color w:val="000000"/>
          <w:sz w:val="20"/>
        </w:rPr>
      </w:pPr>
      <w:r w:rsidRPr="00351CCB">
        <w:rPr>
          <w:rFonts w:ascii="Arial" w:hAnsi="Arial" w:cs="Arial"/>
          <w:b/>
          <w:sz w:val="20"/>
        </w:rPr>
        <w:t>Environmental Compliance.</w:t>
      </w:r>
      <w:r w:rsidRPr="00351CCB">
        <w:rPr>
          <w:rFonts w:ascii="Arial" w:hAnsi="Arial" w:cs="Arial"/>
          <w:sz w:val="20"/>
        </w:rPr>
        <w:t xml:space="preserve">  If the </w:t>
      </w:r>
      <w:r w:rsidR="006A1534">
        <w:rPr>
          <w:rFonts w:ascii="Arial" w:hAnsi="Arial" w:cs="Arial"/>
          <w:sz w:val="20"/>
        </w:rPr>
        <w:t>Contract</w:t>
      </w:r>
      <w:r w:rsidR="006A1534" w:rsidRPr="00351CCB">
        <w:rPr>
          <w:rFonts w:ascii="Arial" w:hAnsi="Arial" w:cs="Arial"/>
          <w:sz w:val="20"/>
        </w:rPr>
        <w:t xml:space="preserve"> </w:t>
      </w:r>
      <w:r w:rsidRPr="00351CCB">
        <w:rPr>
          <w:rFonts w:ascii="Arial" w:hAnsi="Arial" w:cs="Arial"/>
          <w:sz w:val="20"/>
        </w:rPr>
        <w:t>is for more than $150,000, than the parties must comply with the Clean Air Act (42 USC</w:t>
      </w:r>
      <w:r w:rsidRPr="00351CCB">
        <w:rPr>
          <w:rFonts w:ascii="Arial" w:hAnsi="Arial" w:cs="Arial"/>
          <w:color w:val="000000"/>
          <w:sz w:val="20"/>
        </w:rPr>
        <w:t xml:space="preserve"> §§ 7401 to 7671q) and the Federal Water Pollution Control Act (33 USC §§ 1251 to 1387), including all applicable standards, orders, or regulations issued under these Acts.</w:t>
      </w:r>
    </w:p>
    <w:p w:rsidR="008D1713" w:rsidRPr="006A1534" w:rsidRDefault="001B0DE5" w:rsidP="006A1534">
      <w:pPr>
        <w:pStyle w:val="LegalH5L1"/>
        <w:tabs>
          <w:tab w:val="clear" w:pos="720"/>
          <w:tab w:val="num" w:pos="360"/>
        </w:tabs>
        <w:spacing w:after="120"/>
        <w:ind w:left="360" w:hanging="360"/>
        <w:jc w:val="both"/>
        <w:rPr>
          <w:rFonts w:ascii="Arial" w:hAnsi="Arial" w:cs="Arial"/>
          <w:sz w:val="20"/>
        </w:rPr>
      </w:pPr>
      <w:r w:rsidRPr="00351CCB">
        <w:rPr>
          <w:rFonts w:ascii="Arial" w:hAnsi="Arial" w:cs="Arial"/>
          <w:b/>
          <w:sz w:val="20"/>
        </w:rPr>
        <w:t>Prohibited Contract Awards.</w:t>
      </w:r>
      <w:r w:rsidRPr="00351CCB">
        <w:rPr>
          <w:rFonts w:ascii="Arial" w:hAnsi="Arial" w:cs="Arial"/>
          <w:sz w:val="20"/>
        </w:rPr>
        <w:t xml:space="preserve">  In accordance with 2 CFR Part 180, no contract relating to the </w:t>
      </w:r>
      <w:r w:rsidR="006A1534">
        <w:rPr>
          <w:rFonts w:ascii="Arial" w:hAnsi="Arial" w:cs="Arial"/>
          <w:sz w:val="20"/>
        </w:rPr>
        <w:t>Contract</w:t>
      </w:r>
      <w:r w:rsidR="006A1534" w:rsidRPr="00351CCB">
        <w:rPr>
          <w:rFonts w:ascii="Arial" w:hAnsi="Arial" w:cs="Arial"/>
          <w:sz w:val="20"/>
        </w:rPr>
        <w:t xml:space="preserve"> </w:t>
      </w:r>
      <w:r w:rsidRPr="00351CCB">
        <w:rPr>
          <w:rFonts w:ascii="Arial" w:hAnsi="Arial" w:cs="Arial"/>
          <w:sz w:val="20"/>
        </w:rPr>
        <w:t>may be made with any party included on the list of government-wide exclusions in the System for Award Management.</w:t>
      </w:r>
    </w:p>
    <w:p w:rsidR="001B0DE5" w:rsidRPr="00351CCB" w:rsidRDefault="001B0DE5" w:rsidP="006A1534">
      <w:pPr>
        <w:pStyle w:val="LegalH5L1"/>
        <w:tabs>
          <w:tab w:val="clear" w:pos="720"/>
          <w:tab w:val="num" w:pos="360"/>
        </w:tabs>
        <w:spacing w:after="120"/>
        <w:ind w:left="360" w:hanging="360"/>
        <w:jc w:val="both"/>
        <w:rPr>
          <w:rFonts w:ascii="Arial" w:hAnsi="Arial" w:cs="Arial"/>
          <w:sz w:val="20"/>
        </w:rPr>
      </w:pPr>
      <w:r w:rsidRPr="00351CCB">
        <w:rPr>
          <w:rFonts w:ascii="Arial" w:hAnsi="Arial" w:cs="Arial"/>
          <w:b/>
          <w:sz w:val="20"/>
        </w:rPr>
        <w:t>Anti-Lobbying</w:t>
      </w:r>
      <w:r w:rsidRPr="00351CCB">
        <w:rPr>
          <w:rFonts w:ascii="Arial" w:hAnsi="Arial" w:cs="Arial"/>
          <w:sz w:val="20"/>
        </w:rPr>
        <w:t xml:space="preserve">.  If the </w:t>
      </w:r>
      <w:r w:rsidR="006A1534">
        <w:rPr>
          <w:rFonts w:ascii="Arial" w:hAnsi="Arial" w:cs="Arial"/>
          <w:sz w:val="20"/>
        </w:rPr>
        <w:t>Contract</w:t>
      </w:r>
      <w:r w:rsidR="006A1534" w:rsidRPr="00351CCB">
        <w:rPr>
          <w:rFonts w:ascii="Arial" w:hAnsi="Arial" w:cs="Arial"/>
          <w:sz w:val="20"/>
        </w:rPr>
        <w:t xml:space="preserve"> </w:t>
      </w:r>
      <w:r w:rsidRPr="00351CCB">
        <w:rPr>
          <w:rFonts w:ascii="Arial" w:hAnsi="Arial" w:cs="Arial"/>
          <w:sz w:val="20"/>
        </w:rPr>
        <w:t xml:space="preserve">is for more than $100,000, any contractor that applies or bids for an award relating to the </w:t>
      </w:r>
      <w:r w:rsidR="006A1534">
        <w:rPr>
          <w:rFonts w:ascii="Arial" w:hAnsi="Arial" w:cs="Arial"/>
          <w:sz w:val="20"/>
        </w:rPr>
        <w:t>Contract</w:t>
      </w:r>
      <w:r w:rsidR="006A1534" w:rsidRPr="00351CCB">
        <w:rPr>
          <w:rFonts w:ascii="Arial" w:hAnsi="Arial" w:cs="Arial"/>
          <w:sz w:val="20"/>
        </w:rPr>
        <w:t xml:space="preserve"> </w:t>
      </w:r>
      <w:r w:rsidRPr="00351CCB">
        <w:rPr>
          <w:rFonts w:ascii="Arial" w:hAnsi="Arial" w:cs="Arial"/>
          <w:sz w:val="20"/>
        </w:rPr>
        <w:t xml:space="preserve">must file the certification required by 31 USC </w:t>
      </w:r>
      <w:r w:rsidRPr="00351CCB">
        <w:rPr>
          <w:rFonts w:ascii="Arial" w:hAnsi="Arial" w:cs="Arial"/>
          <w:color w:val="000000"/>
          <w:sz w:val="20"/>
        </w:rPr>
        <w:t>§ 1352</w:t>
      </w:r>
      <w:r w:rsidRPr="00351CCB">
        <w:rPr>
          <w:rFonts w:ascii="Arial" w:hAnsi="Arial" w:cs="Arial"/>
          <w:sz w:val="20"/>
        </w:rPr>
        <w:t xml:space="preserve">, certifying that the contractor has not and will not appropriate federal funds to pay any person or organization influencing or attempting to influence an officer or employees of the federal agency, a member of Congress, an officer or employee of Congress, or an employee of a member of Congress in connection with obtaining a contract, grant, or other award covered by 31 USC </w:t>
      </w:r>
      <w:r w:rsidRPr="00351CCB">
        <w:rPr>
          <w:rFonts w:ascii="Arial" w:hAnsi="Arial" w:cs="Arial"/>
          <w:color w:val="000000"/>
          <w:sz w:val="20"/>
        </w:rPr>
        <w:t xml:space="preserve">§ </w:t>
      </w:r>
      <w:r w:rsidRPr="00351CCB">
        <w:rPr>
          <w:rFonts w:ascii="Arial" w:hAnsi="Arial" w:cs="Arial"/>
          <w:sz w:val="20"/>
        </w:rPr>
        <w:t>1352 involving federal funds.  The contractor must also disclose any lobbying with nonfederal funds that takes place in connection with obtaining an award of federal funds.</w:t>
      </w:r>
    </w:p>
    <w:p w:rsidR="001B0DE5" w:rsidRPr="00351CCB" w:rsidRDefault="001B0DE5" w:rsidP="006A1534">
      <w:pPr>
        <w:pStyle w:val="LegalH5L1"/>
        <w:tabs>
          <w:tab w:val="clear" w:pos="720"/>
          <w:tab w:val="num" w:pos="360"/>
        </w:tabs>
        <w:spacing w:after="120"/>
        <w:ind w:left="360" w:hanging="360"/>
        <w:jc w:val="both"/>
        <w:rPr>
          <w:rFonts w:ascii="Arial" w:hAnsi="Arial" w:cs="Arial"/>
          <w:sz w:val="20"/>
        </w:rPr>
      </w:pPr>
      <w:r w:rsidRPr="00351CCB">
        <w:rPr>
          <w:rFonts w:ascii="Arial" w:hAnsi="Arial" w:cs="Arial"/>
          <w:b/>
          <w:sz w:val="20"/>
        </w:rPr>
        <w:t>Procurement of Recovered Materials.</w:t>
      </w:r>
      <w:r w:rsidRPr="00351CCB">
        <w:rPr>
          <w:rFonts w:ascii="Arial" w:hAnsi="Arial" w:cs="Arial"/>
          <w:sz w:val="20"/>
        </w:rPr>
        <w:t xml:space="preserve">  The parties must comply with Section 6002 of the Solid Waste Disposal Act, as amended by the Resource Conservation and Recovery Act.  The requirements of Section 6002 include but are not limited to:</w:t>
      </w:r>
    </w:p>
    <w:p w:rsidR="001B0DE5" w:rsidRPr="00351CCB" w:rsidRDefault="001B0DE5" w:rsidP="006A1534">
      <w:pPr>
        <w:pStyle w:val="LegalH5L2"/>
        <w:tabs>
          <w:tab w:val="num" w:pos="720"/>
        </w:tabs>
        <w:spacing w:after="120"/>
        <w:ind w:left="720" w:hanging="360"/>
        <w:jc w:val="both"/>
        <w:rPr>
          <w:rFonts w:ascii="Arial" w:hAnsi="Arial" w:cs="Arial"/>
          <w:sz w:val="20"/>
        </w:rPr>
      </w:pPr>
      <w:r w:rsidRPr="00351CCB">
        <w:rPr>
          <w:rFonts w:ascii="Arial" w:hAnsi="Arial" w:cs="Arial"/>
          <w:sz w:val="20"/>
        </w:rPr>
        <w:t>If the purchase price of the item exceeds $10,000 or the value of the quantity acquired during the preceding fiscal year exceeded $10,000, procuring only items designated in 40 CFR Part 247 that contain the highest percentage of recovered materials practicable, consistent with maintaining a satisfactory level of competition;</w:t>
      </w:r>
    </w:p>
    <w:p w:rsidR="001B0DE5" w:rsidRPr="00351CCB" w:rsidRDefault="001B0DE5" w:rsidP="006A1534">
      <w:pPr>
        <w:pStyle w:val="LegalH5L2"/>
        <w:tabs>
          <w:tab w:val="clear" w:pos="1080"/>
          <w:tab w:val="num" w:pos="720"/>
        </w:tabs>
        <w:spacing w:after="120"/>
        <w:ind w:left="720" w:hanging="360"/>
        <w:jc w:val="both"/>
        <w:rPr>
          <w:rFonts w:ascii="Arial" w:hAnsi="Arial" w:cs="Arial"/>
          <w:sz w:val="20"/>
        </w:rPr>
      </w:pPr>
      <w:r w:rsidRPr="00351CCB">
        <w:rPr>
          <w:rFonts w:ascii="Arial" w:hAnsi="Arial" w:cs="Arial"/>
          <w:sz w:val="20"/>
        </w:rPr>
        <w:t>Procuring solid waste management services in a manner that maximizes energy and resource recovery; and</w:t>
      </w:r>
    </w:p>
    <w:p w:rsidR="001B0DE5" w:rsidRPr="00351CCB" w:rsidRDefault="001B0DE5" w:rsidP="006A1534">
      <w:pPr>
        <w:pStyle w:val="LegalH5L2"/>
        <w:tabs>
          <w:tab w:val="clear" w:pos="1080"/>
          <w:tab w:val="num" w:pos="720"/>
        </w:tabs>
        <w:spacing w:after="0"/>
        <w:ind w:left="720" w:hanging="360"/>
        <w:jc w:val="both"/>
        <w:rPr>
          <w:rFonts w:ascii="Arial" w:hAnsi="Arial" w:cs="Arial"/>
          <w:sz w:val="20"/>
        </w:rPr>
      </w:pPr>
      <w:r w:rsidRPr="00351CCB">
        <w:rPr>
          <w:rFonts w:ascii="Arial" w:hAnsi="Arial" w:cs="Arial"/>
          <w:sz w:val="20"/>
        </w:rPr>
        <w:t>Establishing an affirmative procurement program for procurement of recovered materials identified in Environmental Protection Agency guidelines.</w:t>
      </w:r>
    </w:p>
    <w:sectPr w:rsidR="001B0DE5" w:rsidRPr="00351CCB" w:rsidSect="00351CCB">
      <w:footerReference w:type="default" r:id="rId61"/>
      <w:footerReference w:type="first" r:id="rId62"/>
      <w:pgSz w:w="12240" w:h="15840" w:code="1"/>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B94" w:rsidRDefault="00E03B94" w:rsidP="00E03B94">
      <w:r>
        <w:separator/>
      </w:r>
    </w:p>
  </w:endnote>
  <w:endnote w:type="continuationSeparator" w:id="0">
    <w:p w:rsidR="00E03B94" w:rsidRDefault="00E03B94" w:rsidP="00E0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2030634533"/>
      <w:docPartObj>
        <w:docPartGallery w:val="Page Numbers (Bottom of Page)"/>
        <w:docPartUnique/>
      </w:docPartObj>
    </w:sdtPr>
    <w:sdtEndPr>
      <w:rPr>
        <w:noProof/>
      </w:rPr>
    </w:sdtEndPr>
    <w:sdtContent>
      <w:p w:rsidR="00E03B94" w:rsidRPr="00351CCB" w:rsidRDefault="00351CCB" w:rsidP="00351CCB">
        <w:pPr>
          <w:pStyle w:val="Footer"/>
          <w:tabs>
            <w:tab w:val="clear" w:pos="4680"/>
            <w:tab w:val="clear" w:pos="9360"/>
            <w:tab w:val="right" w:pos="10710"/>
          </w:tabs>
          <w:rPr>
            <w:rFonts w:ascii="Arial" w:hAnsi="Arial" w:cs="Arial"/>
            <w:sz w:val="18"/>
            <w:szCs w:val="18"/>
          </w:rPr>
        </w:pPr>
        <w:r w:rsidRPr="00351CCB">
          <w:rPr>
            <w:rFonts w:ascii="Arial" w:hAnsi="Arial" w:cs="Arial"/>
            <w:sz w:val="18"/>
            <w:szCs w:val="18"/>
          </w:rPr>
          <w:t xml:space="preserve">Page </w:t>
        </w:r>
        <w:r w:rsidRPr="00351CCB">
          <w:rPr>
            <w:rFonts w:ascii="Arial" w:hAnsi="Arial" w:cs="Arial"/>
            <w:bCs/>
            <w:sz w:val="18"/>
            <w:szCs w:val="18"/>
          </w:rPr>
          <w:fldChar w:fldCharType="begin"/>
        </w:r>
        <w:r w:rsidRPr="00351CCB">
          <w:rPr>
            <w:rFonts w:ascii="Arial" w:hAnsi="Arial" w:cs="Arial"/>
            <w:bCs/>
            <w:sz w:val="18"/>
            <w:szCs w:val="18"/>
          </w:rPr>
          <w:instrText xml:space="preserve"> PAGE  \* Arabic  \* MERGEFORMAT </w:instrText>
        </w:r>
        <w:r w:rsidRPr="00351CCB">
          <w:rPr>
            <w:rFonts w:ascii="Arial" w:hAnsi="Arial" w:cs="Arial"/>
            <w:bCs/>
            <w:sz w:val="18"/>
            <w:szCs w:val="18"/>
          </w:rPr>
          <w:fldChar w:fldCharType="separate"/>
        </w:r>
        <w:r w:rsidR="00736763">
          <w:rPr>
            <w:rFonts w:ascii="Arial" w:hAnsi="Arial" w:cs="Arial"/>
            <w:bCs/>
            <w:noProof/>
            <w:sz w:val="18"/>
            <w:szCs w:val="18"/>
          </w:rPr>
          <w:t>1</w:t>
        </w:r>
        <w:r w:rsidRPr="00351CCB">
          <w:rPr>
            <w:rFonts w:ascii="Arial" w:hAnsi="Arial" w:cs="Arial"/>
            <w:bCs/>
            <w:sz w:val="18"/>
            <w:szCs w:val="18"/>
          </w:rPr>
          <w:fldChar w:fldCharType="end"/>
        </w:r>
        <w:r w:rsidRPr="00351CCB">
          <w:rPr>
            <w:rFonts w:ascii="Arial" w:hAnsi="Arial" w:cs="Arial"/>
            <w:sz w:val="18"/>
            <w:szCs w:val="18"/>
          </w:rPr>
          <w:t xml:space="preserve"> of </w:t>
        </w:r>
        <w:r w:rsidRPr="00351CCB">
          <w:rPr>
            <w:rFonts w:ascii="Arial" w:hAnsi="Arial" w:cs="Arial"/>
            <w:bCs/>
            <w:sz w:val="18"/>
            <w:szCs w:val="18"/>
          </w:rPr>
          <w:fldChar w:fldCharType="begin"/>
        </w:r>
        <w:r w:rsidRPr="00351CCB">
          <w:rPr>
            <w:rFonts w:ascii="Arial" w:hAnsi="Arial" w:cs="Arial"/>
            <w:bCs/>
            <w:sz w:val="18"/>
            <w:szCs w:val="18"/>
          </w:rPr>
          <w:instrText xml:space="preserve"> NUMPAGES  \* Arabic  \* MERGEFORMAT </w:instrText>
        </w:r>
        <w:r w:rsidRPr="00351CCB">
          <w:rPr>
            <w:rFonts w:ascii="Arial" w:hAnsi="Arial" w:cs="Arial"/>
            <w:bCs/>
            <w:sz w:val="18"/>
            <w:szCs w:val="18"/>
          </w:rPr>
          <w:fldChar w:fldCharType="separate"/>
        </w:r>
        <w:r w:rsidR="00736763">
          <w:rPr>
            <w:rFonts w:ascii="Arial" w:hAnsi="Arial" w:cs="Arial"/>
            <w:bCs/>
            <w:noProof/>
            <w:sz w:val="18"/>
            <w:szCs w:val="18"/>
          </w:rPr>
          <w:t>2</w:t>
        </w:r>
        <w:r w:rsidRPr="00351CCB">
          <w:rPr>
            <w:rFonts w:ascii="Arial" w:hAnsi="Arial" w:cs="Arial"/>
            <w:bCs/>
            <w:sz w:val="18"/>
            <w:szCs w:val="18"/>
          </w:rPr>
          <w:fldChar w:fldCharType="end"/>
        </w:r>
        <w:r>
          <w:rPr>
            <w:rFonts w:ascii="Arial" w:hAnsi="Arial" w:cs="Arial"/>
            <w:bCs/>
            <w:sz w:val="18"/>
            <w:szCs w:val="18"/>
          </w:rPr>
          <w:tab/>
          <w:t xml:space="preserve">Rev. </w:t>
        </w:r>
        <w:r w:rsidR="00736763">
          <w:rPr>
            <w:rFonts w:ascii="Arial" w:hAnsi="Arial" w:cs="Arial"/>
            <w:bCs/>
            <w:sz w:val="18"/>
            <w:szCs w:val="18"/>
          </w:rPr>
          <w:t>052119</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113866"/>
      <w:docPartObj>
        <w:docPartGallery w:val="Page Numbers (Bottom of Page)"/>
        <w:docPartUnique/>
      </w:docPartObj>
    </w:sdtPr>
    <w:sdtEndPr>
      <w:rPr>
        <w:noProof/>
      </w:rPr>
    </w:sdtEndPr>
    <w:sdtContent>
      <w:p w:rsidR="00E03B94" w:rsidRDefault="00E03B94">
        <w:pPr>
          <w:pStyle w:val="Footer"/>
          <w:jc w:val="center"/>
        </w:pPr>
        <w:r>
          <w:fldChar w:fldCharType="begin"/>
        </w:r>
        <w:r>
          <w:instrText xml:space="preserve"> PAGE   \* MERGEFORMAT </w:instrText>
        </w:r>
        <w:r>
          <w:fldChar w:fldCharType="separate"/>
        </w:r>
        <w:r w:rsidR="00351CCB">
          <w:rPr>
            <w:noProof/>
          </w:rPr>
          <w:t>1</w:t>
        </w:r>
        <w:r>
          <w:rPr>
            <w:noProof/>
          </w:rPr>
          <w:fldChar w:fldCharType="end"/>
        </w:r>
      </w:p>
    </w:sdtContent>
  </w:sdt>
  <w:p w:rsidR="00E03B94" w:rsidRDefault="00E03B94">
    <w:pPr>
      <w:pStyle w:val="Footer"/>
    </w:pPr>
  </w:p>
  <w:p w:rsidR="00326928" w:rsidRDefault="00326928" w:rsidP="00326928">
    <w:pPr>
      <w:pStyle w:val="Footer"/>
      <w:spacing w:line="200" w:lineRule="exact"/>
      <w:jc w:val="right"/>
    </w:pPr>
    <w:r w:rsidRPr="00326928">
      <w:rPr>
        <w:rStyle w:val="zzmpTrailerItem"/>
      </w:rPr>
      <w:t>4839-5242-4785.1</w:t>
    </w:r>
    <w:r w:rsidRPr="003269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B94" w:rsidRDefault="00E03B94" w:rsidP="00E03B94">
      <w:r>
        <w:separator/>
      </w:r>
    </w:p>
  </w:footnote>
  <w:footnote w:type="continuationSeparator" w:id="0">
    <w:p w:rsidR="00E03B94" w:rsidRDefault="00E03B94" w:rsidP="00E03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52948"/>
    <w:multiLevelType w:val="hybridMultilevel"/>
    <w:tmpl w:val="D8A4AB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8F612AA"/>
    <w:multiLevelType w:val="hybridMultilevel"/>
    <w:tmpl w:val="955C60D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2D6756D"/>
    <w:multiLevelType w:val="multilevel"/>
    <w:tmpl w:val="AF3C04D2"/>
    <w:name w:val="zzmpLegalH5||Legal5 Hanging|2|1|1|1|0|9||1|0|1||1|0|1||1|0|1||1|0|0||1|0|0||1|0|0||1|0|0||mpNA||"/>
    <w:lvl w:ilvl="0">
      <w:start w:val="1"/>
      <w:numFmt w:val="decimal"/>
      <w:pStyle w:val="LegalH5L1"/>
      <w:lvlText w:val="%1."/>
      <w:lvlJc w:val="left"/>
      <w:pPr>
        <w:tabs>
          <w:tab w:val="num" w:pos="720"/>
        </w:tabs>
        <w:ind w:left="720" w:hanging="72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egalH5L2"/>
      <w:lvlText w:val="%2."/>
      <w:lvlJc w:val="left"/>
      <w:pPr>
        <w:tabs>
          <w:tab w:val="num" w:pos="1080"/>
        </w:tabs>
        <w:ind w:left="108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alH5L3"/>
      <w:lvlText w:val="%1.%2.%3"/>
      <w:lvlJc w:val="left"/>
      <w:pPr>
        <w:tabs>
          <w:tab w:val="num" w:pos="2160"/>
        </w:tabs>
        <w:ind w:left="216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galH5L4"/>
      <w:lvlText w:val="%1.%2.%3.%4"/>
      <w:lvlJc w:val="left"/>
      <w:pPr>
        <w:tabs>
          <w:tab w:val="num" w:pos="3168"/>
        </w:tabs>
        <w:ind w:left="3168" w:hanging="1008"/>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H5L5"/>
      <w:lvlText w:val="%1.%2.%3.%4.%5"/>
      <w:lvlJc w:val="left"/>
      <w:pPr>
        <w:tabs>
          <w:tab w:val="num" w:pos="4320"/>
        </w:tabs>
        <w:ind w:left="4320" w:hanging="1152"/>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H5L6"/>
      <w:lvlText w:val="%6."/>
      <w:lvlJc w:val="left"/>
      <w:pPr>
        <w:tabs>
          <w:tab w:val="num" w:pos="2880"/>
        </w:tabs>
        <w:ind w:left="144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H5L7"/>
      <w:lvlText w:val="(%7)"/>
      <w:lvlJc w:val="left"/>
      <w:pPr>
        <w:tabs>
          <w:tab w:val="num" w:pos="3600"/>
        </w:tabs>
        <w:ind w:left="216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LegalH5L8"/>
      <w:lvlText w:val="(%8)"/>
      <w:lvlJc w:val="left"/>
      <w:pPr>
        <w:tabs>
          <w:tab w:val="num" w:pos="4320"/>
        </w:tabs>
        <w:ind w:left="288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luZ3uvBi5A+50iPOmj6Vx04Hddj3FtxA6xQL3iAoXrPMnsFVGvw/IFbYCAFeAso02XBd/nv0MdYrYE1E3/AwQ==" w:salt="ZhEJXDRrlEP7L+Alt4Uc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0"/>
    <w:docVar w:name="85TrailerDateField" w:val="0"/>
    <w:docVar w:name="85TrailerDraft" w:val="0"/>
    <w:docVar w:name="85TrailerTime" w:val="0"/>
    <w:docVar w:name="85TrailerType" w:val="103"/>
    <w:docVar w:name="DMS_Temp" w:val="ndOffice||ID~4839-5242-4785||Version~1||Cabinet~NG-89WBSIQD||FileName~Exhibit with Federal Funding Contract Terms.docx||LastModified~10/19/2017 12:28:10 PM||Client~032501||Matter~0029||Document Type~Business Documents||Author~Chamberlain, Craig||Comments~||Legacy Doc ID~||Date Stamp~||Legacy Folder Path~||Legacy Document Type~||Legacy Prolaw-ProfoundID~||"/>
    <w:docVar w:name="MPDocID" w:val="4839-5242-4785.1"/>
    <w:docVar w:name="MPDocIDTemplate" w:val="%n|.%v"/>
    <w:docVar w:name="MPDocIDTemplateDefault" w:val="%n|.%v"/>
    <w:docVar w:name="NewDocStampType" w:val="1"/>
    <w:docVar w:name="zzmpFixedCurScheme" w:val="LegalH5"/>
    <w:docVar w:name="zzmpFixedCurScheme_9.0" w:val="2zzmpLegalH5"/>
    <w:docVar w:name="zzmpLegalH5" w:val="||Legal5 Hanging|2|1|1|1|0|9||1|0|1||1|0|1||1|0|1||1|0|0||1|0|0||1|0|0||1|0|0||mpNA||"/>
    <w:docVar w:name="zzmpLTFontsClean" w:val="True"/>
    <w:docVar w:name="zzmpnSession" w:val="1.202029E-02"/>
  </w:docVars>
  <w:rsids>
    <w:rsidRoot w:val="002D51DE"/>
    <w:rsid w:val="00001851"/>
    <w:rsid w:val="00053265"/>
    <w:rsid w:val="00055D24"/>
    <w:rsid w:val="00084A7B"/>
    <w:rsid w:val="00097E32"/>
    <w:rsid w:val="000C3BC7"/>
    <w:rsid w:val="000E56F1"/>
    <w:rsid w:val="001019D2"/>
    <w:rsid w:val="001131EB"/>
    <w:rsid w:val="00154EC2"/>
    <w:rsid w:val="00161403"/>
    <w:rsid w:val="00163B2B"/>
    <w:rsid w:val="00171695"/>
    <w:rsid w:val="00194048"/>
    <w:rsid w:val="001B0DE5"/>
    <w:rsid w:val="001B4AE3"/>
    <w:rsid w:val="001B64D4"/>
    <w:rsid w:val="001C0E8C"/>
    <w:rsid w:val="001C731A"/>
    <w:rsid w:val="00206D34"/>
    <w:rsid w:val="002101F2"/>
    <w:rsid w:val="00216ED1"/>
    <w:rsid w:val="00231C0E"/>
    <w:rsid w:val="002359FE"/>
    <w:rsid w:val="00285D4E"/>
    <w:rsid w:val="002B3541"/>
    <w:rsid w:val="002D51DE"/>
    <w:rsid w:val="00304144"/>
    <w:rsid w:val="00306355"/>
    <w:rsid w:val="00326928"/>
    <w:rsid w:val="00351CCB"/>
    <w:rsid w:val="003F465F"/>
    <w:rsid w:val="00421148"/>
    <w:rsid w:val="004403F6"/>
    <w:rsid w:val="00465672"/>
    <w:rsid w:val="00483CAC"/>
    <w:rsid w:val="004B275C"/>
    <w:rsid w:val="004B326C"/>
    <w:rsid w:val="004D370B"/>
    <w:rsid w:val="0050794E"/>
    <w:rsid w:val="00525830"/>
    <w:rsid w:val="0053581B"/>
    <w:rsid w:val="005B6C42"/>
    <w:rsid w:val="005E5831"/>
    <w:rsid w:val="005F1EBB"/>
    <w:rsid w:val="0062115D"/>
    <w:rsid w:val="006246FF"/>
    <w:rsid w:val="00636915"/>
    <w:rsid w:val="006457C3"/>
    <w:rsid w:val="00666ED0"/>
    <w:rsid w:val="006A1534"/>
    <w:rsid w:val="006A170E"/>
    <w:rsid w:val="006B040A"/>
    <w:rsid w:val="006C1FB5"/>
    <w:rsid w:val="006D2EE4"/>
    <w:rsid w:val="00703DFE"/>
    <w:rsid w:val="00706C56"/>
    <w:rsid w:val="00711908"/>
    <w:rsid w:val="00734412"/>
    <w:rsid w:val="00736763"/>
    <w:rsid w:val="00772A88"/>
    <w:rsid w:val="007A7203"/>
    <w:rsid w:val="007B6A81"/>
    <w:rsid w:val="007E5A16"/>
    <w:rsid w:val="007E6C3A"/>
    <w:rsid w:val="0085110C"/>
    <w:rsid w:val="008B52DA"/>
    <w:rsid w:val="008D1713"/>
    <w:rsid w:val="008E0432"/>
    <w:rsid w:val="009000C8"/>
    <w:rsid w:val="00955A6C"/>
    <w:rsid w:val="009D1FE5"/>
    <w:rsid w:val="009F051B"/>
    <w:rsid w:val="009F09E3"/>
    <w:rsid w:val="009F3EE7"/>
    <w:rsid w:val="00A01607"/>
    <w:rsid w:val="00AA65E9"/>
    <w:rsid w:val="00AC5F86"/>
    <w:rsid w:val="00AD12C5"/>
    <w:rsid w:val="00AF4747"/>
    <w:rsid w:val="00B007AD"/>
    <w:rsid w:val="00B04125"/>
    <w:rsid w:val="00B706F2"/>
    <w:rsid w:val="00BA23E0"/>
    <w:rsid w:val="00BA52DF"/>
    <w:rsid w:val="00BB3530"/>
    <w:rsid w:val="00BC33CD"/>
    <w:rsid w:val="00BF6B3C"/>
    <w:rsid w:val="00C04C78"/>
    <w:rsid w:val="00C16991"/>
    <w:rsid w:val="00C21126"/>
    <w:rsid w:val="00CA2E13"/>
    <w:rsid w:val="00CB4056"/>
    <w:rsid w:val="00CC23F3"/>
    <w:rsid w:val="00D16AA9"/>
    <w:rsid w:val="00D300E9"/>
    <w:rsid w:val="00D37254"/>
    <w:rsid w:val="00D51196"/>
    <w:rsid w:val="00D744ED"/>
    <w:rsid w:val="00DB666B"/>
    <w:rsid w:val="00DC3694"/>
    <w:rsid w:val="00DF6D03"/>
    <w:rsid w:val="00E03B94"/>
    <w:rsid w:val="00E535FA"/>
    <w:rsid w:val="00E574BC"/>
    <w:rsid w:val="00E77B34"/>
    <w:rsid w:val="00EC2583"/>
    <w:rsid w:val="00ED0DD7"/>
    <w:rsid w:val="00EF4C02"/>
    <w:rsid w:val="00F34D7E"/>
    <w:rsid w:val="00F6379A"/>
    <w:rsid w:val="00F727D9"/>
    <w:rsid w:val="00FE3D0B"/>
    <w:rsid w:val="00FE5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A5F05"/>
  <w15:docId w15:val="{7DDC6F96-9EF1-479B-87BA-6B8BB284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D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2583"/>
    <w:pPr>
      <w:widowControl w:val="0"/>
      <w:spacing w:after="240"/>
      <w:ind w:firstLine="720"/>
    </w:pPr>
  </w:style>
  <w:style w:type="paragraph" w:customStyle="1" w:styleId="BodyTextContinued">
    <w:name w:val="Body Text Continued"/>
    <w:basedOn w:val="BodyText"/>
    <w:next w:val="BodyText"/>
    <w:rsid w:val="00EC2583"/>
    <w:pPr>
      <w:ind w:firstLine="0"/>
    </w:pPr>
    <w:rPr>
      <w:szCs w:val="20"/>
    </w:rPr>
  </w:style>
  <w:style w:type="paragraph" w:styleId="Quote">
    <w:name w:val="Quote"/>
    <w:basedOn w:val="Normal"/>
    <w:next w:val="BodyTextContinued"/>
    <w:qFormat/>
    <w:rsid w:val="00EC2583"/>
    <w:pPr>
      <w:spacing w:after="240"/>
      <w:ind w:left="1440" w:right="1440"/>
    </w:pPr>
    <w:rPr>
      <w:szCs w:val="20"/>
    </w:rPr>
  </w:style>
  <w:style w:type="paragraph" w:styleId="Header">
    <w:name w:val="header"/>
    <w:basedOn w:val="Normal"/>
    <w:rsid w:val="00EC2583"/>
    <w:pPr>
      <w:tabs>
        <w:tab w:val="center" w:pos="4680"/>
        <w:tab w:val="right" w:pos="9360"/>
      </w:tabs>
    </w:pPr>
  </w:style>
  <w:style w:type="paragraph" w:styleId="Footer">
    <w:name w:val="footer"/>
    <w:basedOn w:val="Normal"/>
    <w:link w:val="FooterChar"/>
    <w:uiPriority w:val="99"/>
    <w:rsid w:val="00EC2583"/>
    <w:pPr>
      <w:tabs>
        <w:tab w:val="center" w:pos="4680"/>
        <w:tab w:val="right" w:pos="9360"/>
      </w:tabs>
    </w:pPr>
  </w:style>
  <w:style w:type="character" w:styleId="PageNumber">
    <w:name w:val="page number"/>
    <w:basedOn w:val="DefaultParagraphFont"/>
    <w:rsid w:val="00EC2583"/>
  </w:style>
  <w:style w:type="paragraph" w:styleId="ListParagraph">
    <w:name w:val="List Paragraph"/>
    <w:basedOn w:val="Normal"/>
    <w:link w:val="ListParagraphChar"/>
    <w:uiPriority w:val="34"/>
    <w:qFormat/>
    <w:rsid w:val="00BC33CD"/>
    <w:pPr>
      <w:ind w:left="720"/>
      <w:contextualSpacing/>
    </w:pPr>
  </w:style>
  <w:style w:type="paragraph" w:customStyle="1" w:styleId="NumContinue">
    <w:name w:val="Num Continue"/>
    <w:basedOn w:val="BodyText"/>
    <w:link w:val="NumContinueChar"/>
    <w:rsid w:val="0062115D"/>
    <w:pPr>
      <w:ind w:left="1080"/>
    </w:pPr>
  </w:style>
  <w:style w:type="character" w:customStyle="1" w:styleId="ListParagraphChar">
    <w:name w:val="List Paragraph Char"/>
    <w:basedOn w:val="DefaultParagraphFont"/>
    <w:link w:val="ListParagraph"/>
    <w:uiPriority w:val="34"/>
    <w:rsid w:val="0062115D"/>
    <w:rPr>
      <w:sz w:val="24"/>
      <w:szCs w:val="24"/>
    </w:rPr>
  </w:style>
  <w:style w:type="character" w:customStyle="1" w:styleId="NumContinueChar">
    <w:name w:val="Num Continue Char"/>
    <w:basedOn w:val="ListParagraphChar"/>
    <w:link w:val="NumContinue"/>
    <w:rsid w:val="0062115D"/>
    <w:rPr>
      <w:sz w:val="24"/>
      <w:szCs w:val="24"/>
    </w:rPr>
  </w:style>
  <w:style w:type="paragraph" w:customStyle="1" w:styleId="LegalH5Cont1">
    <w:name w:val="LegalH5 Cont 1"/>
    <w:basedOn w:val="Normal"/>
    <w:link w:val="LegalH5Cont1Char"/>
    <w:rsid w:val="0062115D"/>
    <w:pPr>
      <w:spacing w:after="240"/>
    </w:pPr>
    <w:rPr>
      <w:szCs w:val="20"/>
    </w:rPr>
  </w:style>
  <w:style w:type="character" w:customStyle="1" w:styleId="LegalH5Cont1Char">
    <w:name w:val="LegalH5 Cont 1 Char"/>
    <w:basedOn w:val="ListParagraphChar"/>
    <w:link w:val="LegalH5Cont1"/>
    <w:rsid w:val="0062115D"/>
    <w:rPr>
      <w:sz w:val="24"/>
      <w:szCs w:val="24"/>
    </w:rPr>
  </w:style>
  <w:style w:type="paragraph" w:customStyle="1" w:styleId="LegalH5Cont2">
    <w:name w:val="LegalH5 Cont 2"/>
    <w:basedOn w:val="LegalH5Cont1"/>
    <w:link w:val="LegalH5Cont2Char"/>
    <w:rsid w:val="0062115D"/>
  </w:style>
  <w:style w:type="character" w:customStyle="1" w:styleId="LegalH5Cont2Char">
    <w:name w:val="LegalH5 Cont 2 Char"/>
    <w:basedOn w:val="ListParagraphChar"/>
    <w:link w:val="LegalH5Cont2"/>
    <w:rsid w:val="0062115D"/>
    <w:rPr>
      <w:sz w:val="24"/>
      <w:szCs w:val="24"/>
    </w:rPr>
  </w:style>
  <w:style w:type="paragraph" w:customStyle="1" w:styleId="LegalH5Cont3">
    <w:name w:val="LegalH5 Cont 3"/>
    <w:basedOn w:val="LegalH5Cont2"/>
    <w:link w:val="LegalH5Cont3Char"/>
    <w:rsid w:val="0062115D"/>
  </w:style>
  <w:style w:type="character" w:customStyle="1" w:styleId="LegalH5Cont3Char">
    <w:name w:val="LegalH5 Cont 3 Char"/>
    <w:basedOn w:val="ListParagraphChar"/>
    <w:link w:val="LegalH5Cont3"/>
    <w:rsid w:val="0062115D"/>
    <w:rPr>
      <w:sz w:val="24"/>
      <w:szCs w:val="24"/>
    </w:rPr>
  </w:style>
  <w:style w:type="paragraph" w:customStyle="1" w:styleId="LegalH5Cont4">
    <w:name w:val="LegalH5 Cont 4"/>
    <w:basedOn w:val="LegalH5Cont3"/>
    <w:link w:val="LegalH5Cont4Char"/>
    <w:rsid w:val="0062115D"/>
  </w:style>
  <w:style w:type="character" w:customStyle="1" w:styleId="LegalH5Cont4Char">
    <w:name w:val="LegalH5 Cont 4 Char"/>
    <w:basedOn w:val="ListParagraphChar"/>
    <w:link w:val="LegalH5Cont4"/>
    <w:rsid w:val="0062115D"/>
    <w:rPr>
      <w:sz w:val="24"/>
      <w:szCs w:val="24"/>
    </w:rPr>
  </w:style>
  <w:style w:type="paragraph" w:customStyle="1" w:styleId="LegalH5Cont5">
    <w:name w:val="LegalH5 Cont 5"/>
    <w:basedOn w:val="LegalH5Cont4"/>
    <w:link w:val="LegalH5Cont5Char"/>
    <w:rsid w:val="0062115D"/>
  </w:style>
  <w:style w:type="character" w:customStyle="1" w:styleId="LegalH5Cont5Char">
    <w:name w:val="LegalH5 Cont 5 Char"/>
    <w:basedOn w:val="ListParagraphChar"/>
    <w:link w:val="LegalH5Cont5"/>
    <w:rsid w:val="0062115D"/>
    <w:rPr>
      <w:sz w:val="24"/>
      <w:szCs w:val="24"/>
    </w:rPr>
  </w:style>
  <w:style w:type="paragraph" w:customStyle="1" w:styleId="LegalH5Cont6">
    <w:name w:val="LegalH5 Cont 6"/>
    <w:basedOn w:val="LegalH5Cont5"/>
    <w:link w:val="LegalH5Cont6Char"/>
    <w:rsid w:val="0062115D"/>
  </w:style>
  <w:style w:type="character" w:customStyle="1" w:styleId="LegalH5Cont6Char">
    <w:name w:val="LegalH5 Cont 6 Char"/>
    <w:basedOn w:val="ListParagraphChar"/>
    <w:link w:val="LegalH5Cont6"/>
    <w:rsid w:val="0062115D"/>
    <w:rPr>
      <w:sz w:val="24"/>
      <w:szCs w:val="24"/>
    </w:rPr>
  </w:style>
  <w:style w:type="paragraph" w:customStyle="1" w:styleId="LegalH5Cont7">
    <w:name w:val="LegalH5 Cont 7"/>
    <w:basedOn w:val="LegalH5Cont6"/>
    <w:link w:val="LegalH5Cont7Char"/>
    <w:rsid w:val="0062115D"/>
  </w:style>
  <w:style w:type="character" w:customStyle="1" w:styleId="LegalH5Cont7Char">
    <w:name w:val="LegalH5 Cont 7 Char"/>
    <w:basedOn w:val="ListParagraphChar"/>
    <w:link w:val="LegalH5Cont7"/>
    <w:rsid w:val="0062115D"/>
    <w:rPr>
      <w:sz w:val="24"/>
      <w:szCs w:val="24"/>
    </w:rPr>
  </w:style>
  <w:style w:type="paragraph" w:customStyle="1" w:styleId="LegalH5Cont8">
    <w:name w:val="LegalH5 Cont 8"/>
    <w:basedOn w:val="LegalH5Cont7"/>
    <w:link w:val="LegalH5Cont8Char"/>
    <w:rsid w:val="0062115D"/>
  </w:style>
  <w:style w:type="character" w:customStyle="1" w:styleId="LegalH5Cont8Char">
    <w:name w:val="LegalH5 Cont 8 Char"/>
    <w:basedOn w:val="ListParagraphChar"/>
    <w:link w:val="LegalH5Cont8"/>
    <w:rsid w:val="0062115D"/>
    <w:rPr>
      <w:sz w:val="24"/>
      <w:szCs w:val="24"/>
    </w:rPr>
  </w:style>
  <w:style w:type="paragraph" w:customStyle="1" w:styleId="LegalH5L1">
    <w:name w:val="LegalH5_L1"/>
    <w:basedOn w:val="Normal"/>
    <w:next w:val="NumContinue"/>
    <w:link w:val="LegalH5L1Char"/>
    <w:rsid w:val="0062115D"/>
    <w:pPr>
      <w:numPr>
        <w:numId w:val="2"/>
      </w:numPr>
      <w:spacing w:after="240"/>
      <w:outlineLvl w:val="0"/>
    </w:pPr>
    <w:rPr>
      <w:szCs w:val="20"/>
    </w:rPr>
  </w:style>
  <w:style w:type="character" w:customStyle="1" w:styleId="LegalH5L1Char">
    <w:name w:val="LegalH5_L1 Char"/>
    <w:basedOn w:val="ListParagraphChar"/>
    <w:link w:val="LegalH5L1"/>
    <w:rsid w:val="0062115D"/>
    <w:rPr>
      <w:sz w:val="24"/>
      <w:szCs w:val="24"/>
    </w:rPr>
  </w:style>
  <w:style w:type="paragraph" w:customStyle="1" w:styleId="LegalH5L2">
    <w:name w:val="LegalH5_L2"/>
    <w:basedOn w:val="LegalH5L1"/>
    <w:next w:val="NumContinue"/>
    <w:link w:val="LegalH5L2Char"/>
    <w:rsid w:val="0062115D"/>
    <w:pPr>
      <w:numPr>
        <w:ilvl w:val="1"/>
      </w:numPr>
      <w:outlineLvl w:val="1"/>
    </w:pPr>
  </w:style>
  <w:style w:type="character" w:customStyle="1" w:styleId="LegalH5L2Char">
    <w:name w:val="LegalH5_L2 Char"/>
    <w:basedOn w:val="ListParagraphChar"/>
    <w:link w:val="LegalH5L2"/>
    <w:rsid w:val="0062115D"/>
    <w:rPr>
      <w:sz w:val="24"/>
      <w:szCs w:val="24"/>
    </w:rPr>
  </w:style>
  <w:style w:type="paragraph" w:customStyle="1" w:styleId="LegalH5L3">
    <w:name w:val="LegalH5_L3"/>
    <w:basedOn w:val="LegalH5L2"/>
    <w:next w:val="NumContinue"/>
    <w:link w:val="LegalH5L3Char"/>
    <w:rsid w:val="0062115D"/>
    <w:pPr>
      <w:numPr>
        <w:ilvl w:val="2"/>
      </w:numPr>
      <w:outlineLvl w:val="2"/>
    </w:pPr>
  </w:style>
  <w:style w:type="character" w:customStyle="1" w:styleId="LegalH5L3Char">
    <w:name w:val="LegalH5_L3 Char"/>
    <w:basedOn w:val="ListParagraphChar"/>
    <w:link w:val="LegalH5L3"/>
    <w:rsid w:val="0062115D"/>
    <w:rPr>
      <w:sz w:val="24"/>
      <w:szCs w:val="24"/>
    </w:rPr>
  </w:style>
  <w:style w:type="paragraph" w:customStyle="1" w:styleId="LegalH5L4">
    <w:name w:val="LegalH5_L4"/>
    <w:basedOn w:val="LegalH5L3"/>
    <w:next w:val="NumContinue"/>
    <w:link w:val="LegalH5L4Char"/>
    <w:rsid w:val="0062115D"/>
    <w:pPr>
      <w:numPr>
        <w:ilvl w:val="3"/>
      </w:numPr>
      <w:outlineLvl w:val="3"/>
    </w:pPr>
  </w:style>
  <w:style w:type="character" w:customStyle="1" w:styleId="LegalH5L4Char">
    <w:name w:val="LegalH5_L4 Char"/>
    <w:basedOn w:val="ListParagraphChar"/>
    <w:link w:val="LegalH5L4"/>
    <w:rsid w:val="0062115D"/>
    <w:rPr>
      <w:sz w:val="24"/>
      <w:szCs w:val="24"/>
    </w:rPr>
  </w:style>
  <w:style w:type="paragraph" w:customStyle="1" w:styleId="LegalH5L5">
    <w:name w:val="LegalH5_L5"/>
    <w:basedOn w:val="LegalH5L4"/>
    <w:next w:val="NumContinue"/>
    <w:link w:val="LegalH5L5Char"/>
    <w:rsid w:val="0062115D"/>
    <w:pPr>
      <w:numPr>
        <w:ilvl w:val="4"/>
      </w:numPr>
      <w:outlineLvl w:val="4"/>
    </w:pPr>
  </w:style>
  <w:style w:type="character" w:customStyle="1" w:styleId="LegalH5L5Char">
    <w:name w:val="LegalH5_L5 Char"/>
    <w:basedOn w:val="ListParagraphChar"/>
    <w:link w:val="LegalH5L5"/>
    <w:rsid w:val="0062115D"/>
    <w:rPr>
      <w:sz w:val="24"/>
      <w:szCs w:val="24"/>
    </w:rPr>
  </w:style>
  <w:style w:type="paragraph" w:customStyle="1" w:styleId="LegalH5L6">
    <w:name w:val="LegalH5_L6"/>
    <w:basedOn w:val="LegalH5L5"/>
    <w:next w:val="NumContinue"/>
    <w:link w:val="LegalH5L6Char"/>
    <w:rsid w:val="0062115D"/>
    <w:pPr>
      <w:numPr>
        <w:ilvl w:val="5"/>
      </w:numPr>
      <w:outlineLvl w:val="5"/>
    </w:pPr>
  </w:style>
  <w:style w:type="character" w:customStyle="1" w:styleId="LegalH5L6Char">
    <w:name w:val="LegalH5_L6 Char"/>
    <w:basedOn w:val="ListParagraphChar"/>
    <w:link w:val="LegalH5L6"/>
    <w:rsid w:val="0062115D"/>
    <w:rPr>
      <w:sz w:val="24"/>
      <w:szCs w:val="24"/>
    </w:rPr>
  </w:style>
  <w:style w:type="paragraph" w:customStyle="1" w:styleId="LegalH5L7">
    <w:name w:val="LegalH5_L7"/>
    <w:basedOn w:val="LegalH5L6"/>
    <w:next w:val="NumContinue"/>
    <w:link w:val="LegalH5L7Char"/>
    <w:rsid w:val="0062115D"/>
    <w:pPr>
      <w:numPr>
        <w:ilvl w:val="6"/>
      </w:numPr>
      <w:outlineLvl w:val="6"/>
    </w:pPr>
  </w:style>
  <w:style w:type="character" w:customStyle="1" w:styleId="LegalH5L7Char">
    <w:name w:val="LegalH5_L7 Char"/>
    <w:basedOn w:val="ListParagraphChar"/>
    <w:link w:val="LegalH5L7"/>
    <w:rsid w:val="0062115D"/>
    <w:rPr>
      <w:sz w:val="24"/>
      <w:szCs w:val="24"/>
    </w:rPr>
  </w:style>
  <w:style w:type="paragraph" w:customStyle="1" w:styleId="LegalH5L8">
    <w:name w:val="LegalH5_L8"/>
    <w:basedOn w:val="LegalH5L7"/>
    <w:next w:val="NumContinue"/>
    <w:link w:val="LegalH5L8Char"/>
    <w:rsid w:val="0062115D"/>
    <w:pPr>
      <w:numPr>
        <w:ilvl w:val="7"/>
      </w:numPr>
      <w:outlineLvl w:val="7"/>
    </w:pPr>
  </w:style>
  <w:style w:type="character" w:customStyle="1" w:styleId="LegalH5L8Char">
    <w:name w:val="LegalH5_L8 Char"/>
    <w:basedOn w:val="ListParagraphChar"/>
    <w:link w:val="LegalH5L8"/>
    <w:rsid w:val="0062115D"/>
    <w:rPr>
      <w:sz w:val="24"/>
      <w:szCs w:val="24"/>
    </w:rPr>
  </w:style>
  <w:style w:type="paragraph" w:customStyle="1" w:styleId="psection-2">
    <w:name w:val="psection-2"/>
    <w:basedOn w:val="Normal"/>
    <w:rsid w:val="00D16AA9"/>
    <w:pPr>
      <w:spacing w:before="100" w:beforeAutospacing="1" w:after="100" w:afterAutospacing="1"/>
    </w:pPr>
  </w:style>
  <w:style w:type="character" w:styleId="Hyperlink">
    <w:name w:val="Hyperlink"/>
    <w:basedOn w:val="DefaultParagraphFont"/>
    <w:uiPriority w:val="99"/>
    <w:unhideWhenUsed/>
    <w:rsid w:val="00D16AA9"/>
    <w:rPr>
      <w:color w:val="0000FF"/>
      <w:u w:val="single"/>
    </w:rPr>
  </w:style>
  <w:style w:type="paragraph" w:styleId="NormalWeb">
    <w:name w:val="Normal (Web)"/>
    <w:basedOn w:val="Normal"/>
    <w:uiPriority w:val="99"/>
    <w:unhideWhenUsed/>
    <w:rsid w:val="00D16AA9"/>
    <w:pPr>
      <w:spacing w:before="100" w:beforeAutospacing="1" w:after="100" w:afterAutospacing="1"/>
    </w:pPr>
  </w:style>
  <w:style w:type="character" w:customStyle="1" w:styleId="enumxml">
    <w:name w:val="enumxml"/>
    <w:basedOn w:val="DefaultParagraphFont"/>
    <w:rsid w:val="00D16AA9"/>
  </w:style>
  <w:style w:type="character" w:customStyle="1" w:styleId="et03">
    <w:name w:val="et03"/>
    <w:basedOn w:val="DefaultParagraphFont"/>
    <w:rsid w:val="00D16AA9"/>
  </w:style>
  <w:style w:type="character" w:customStyle="1" w:styleId="FooterChar">
    <w:name w:val="Footer Char"/>
    <w:basedOn w:val="DefaultParagraphFont"/>
    <w:link w:val="Footer"/>
    <w:uiPriority w:val="99"/>
    <w:rsid w:val="00E03B94"/>
    <w:rPr>
      <w:sz w:val="24"/>
      <w:szCs w:val="24"/>
    </w:rPr>
  </w:style>
  <w:style w:type="paragraph" w:styleId="BalloonText">
    <w:name w:val="Balloon Text"/>
    <w:basedOn w:val="Normal"/>
    <w:link w:val="BalloonTextChar"/>
    <w:rsid w:val="005B6C42"/>
    <w:rPr>
      <w:rFonts w:ascii="Tahoma" w:hAnsi="Tahoma" w:cs="Tahoma"/>
      <w:sz w:val="16"/>
      <w:szCs w:val="16"/>
    </w:rPr>
  </w:style>
  <w:style w:type="character" w:customStyle="1" w:styleId="BalloonTextChar">
    <w:name w:val="Balloon Text Char"/>
    <w:basedOn w:val="DefaultParagraphFont"/>
    <w:link w:val="BalloonText"/>
    <w:rsid w:val="005B6C42"/>
    <w:rPr>
      <w:rFonts w:ascii="Tahoma" w:hAnsi="Tahoma" w:cs="Tahoma"/>
      <w:sz w:val="16"/>
      <w:szCs w:val="16"/>
    </w:rPr>
  </w:style>
  <w:style w:type="character" w:customStyle="1" w:styleId="zzmpTrailerItem">
    <w:name w:val="zzmpTrailerItem"/>
    <w:basedOn w:val="DefaultParagraphFont"/>
    <w:rsid w:val="00326928"/>
    <w:rPr>
      <w:rFonts w:ascii="Arial" w:hAnsi="Arial"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71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index.php?width=840&amp;height=800&amp;iframe=true&amp;def_id=6b2f0ff77e0e4c42c57db352b3fac4da&amp;term_occur=15&amp;term_src=Title:41:Subtitle:B:Chapter:60:Part:60:Subpart:A:60-1.4" TargetMode="External"/><Relationship Id="rId18" Type="http://schemas.openxmlformats.org/officeDocument/2006/relationships/hyperlink" Target="https://www.law.cornell.edu/definitions/index.php?width=840&amp;height=800&amp;iframe=true&amp;def_id=6b2f0ff77e0e4c42c57db352b3fac4da&amp;term_occur=17&amp;term_src=Title:41:Subtitle:B:Chapter:60:Part:60:Subpart:A:60-1.4" TargetMode="External"/><Relationship Id="rId26" Type="http://schemas.openxmlformats.org/officeDocument/2006/relationships/hyperlink" Target="https://www.law.cornell.edu/definitions/index.php?width=840&amp;height=800&amp;iframe=true&amp;def_id=52d7ec308d42ec758489d8d7160e6904&amp;term_occur=19&amp;term_src=Title:41:Subtitle:B:Chapter:60:Part:60:Subpart:A:60-1.4" TargetMode="External"/><Relationship Id="rId39" Type="http://schemas.openxmlformats.org/officeDocument/2006/relationships/hyperlink" Target="https://www.law.cornell.edu/definitions/index.php?width=840&amp;height=800&amp;iframe=true&amp;def_id=af5a536fa6859c5df4775a27506f84b3&amp;term_occur=10&amp;term_src=Title:41:Subtitle:B:Chapter:60:Part:60:Subpart:A:60-1.4" TargetMode="External"/><Relationship Id="rId21" Type="http://schemas.openxmlformats.org/officeDocument/2006/relationships/hyperlink" Target="https://www.law.cornell.edu/definitions/index.php?width=840&amp;height=800&amp;iframe=true&amp;def_id=52d7ec308d42ec758489d8d7160e6904&amp;term_occur=17&amp;term_src=Title:41:Subtitle:B:Chapter:60:Part:60:Subpart:A:60-1.4" TargetMode="External"/><Relationship Id="rId34" Type="http://schemas.openxmlformats.org/officeDocument/2006/relationships/hyperlink" Target="https://www.law.cornell.edu/definitions/index.php?width=840&amp;height=800&amp;iframe=true&amp;def_id=ed485322f3807bf75222e81b9a024a8a&amp;term_occur=2&amp;term_src=Title:41:Subtitle:B:Chapter:60:Part:60:Subpart:A:60-1.4" TargetMode="External"/><Relationship Id="rId42" Type="http://schemas.openxmlformats.org/officeDocument/2006/relationships/hyperlink" Target="https://www.law.cornell.edu/cfr/text/41/60-1.4" TargetMode="External"/><Relationship Id="rId47" Type="http://schemas.openxmlformats.org/officeDocument/2006/relationships/hyperlink" Target="https://www.law.cornell.edu/definitions/index.php?width=840&amp;height=800&amp;iframe=true&amp;def_id=ce1c35ff48c17ac2cafd62d789ead6bf&amp;term_occur=12&amp;term_src=Title:41:Subtitle:B:Chapter:60:Part:60:Subpart:A:60-1.4" TargetMode="External"/><Relationship Id="rId50" Type="http://schemas.openxmlformats.org/officeDocument/2006/relationships/hyperlink" Target="https://www.law.cornell.edu/definitions/index.php?width=840&amp;height=800&amp;iframe=true&amp;def_id=25f3fba02cf994652e59fa4ddcbb6f1c&amp;term_occur=4&amp;term_src=Title:41:Subtitle:B:Chapter:60:Part:60:Subpart:A:60-1.4" TargetMode="External"/><Relationship Id="rId55" Type="http://schemas.openxmlformats.org/officeDocument/2006/relationships/hyperlink" Target="https://www.law.cornell.edu/definitions/index.php?width=840&amp;height=800&amp;iframe=true&amp;def_id=8610af0a0c40548a235bdf6819274ffe&amp;term_occur=4&amp;term_src=Title:41:Subtitle:B:Chapter:60:Part:60:Subpart:A:60-1.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6b2f0ff77e0e4c42c57db352b3fac4da&amp;term_occur=16&amp;term_src=Title:41:Subtitle:B:Chapter:60:Part:60:Subpart:A:60-1.4" TargetMode="External"/><Relationship Id="rId20" Type="http://schemas.openxmlformats.org/officeDocument/2006/relationships/hyperlink" Target="https://www.law.cornell.edu/definitions/index.php?width=840&amp;height=800&amp;iframe=true&amp;def_id=6b2f0ff77e0e4c42c57db352b3fac4da&amp;term_occur=18&amp;term_src=Title:41:Subtitle:B:Chapter:60:Part:60:Subpart:A:60-1.4" TargetMode="External"/><Relationship Id="rId29" Type="http://schemas.openxmlformats.org/officeDocument/2006/relationships/hyperlink" Target="https://www.law.cornell.edu/definitions/index.php?width=840&amp;height=800&amp;iframe=true&amp;def_id=6b2f0ff77e0e4c42c57db352b3fac4da&amp;term_occur=22&amp;term_src=Title:41:Subtitle:B:Chapter:60:Part:60:Subpart:A:60-1.4" TargetMode="External"/><Relationship Id="rId41" Type="http://schemas.openxmlformats.org/officeDocument/2006/relationships/hyperlink" Target="https://www.law.cornell.edu/definitions/index.php?width=840&amp;height=800&amp;iframe=true&amp;def_id=52d7ec308d42ec758489d8d7160e6904&amp;term_occur=23&amp;term_src=Title:41:Subtitle:B:Chapter:60:Part:60:Subpart:A:60-1.4" TargetMode="External"/><Relationship Id="rId54" Type="http://schemas.openxmlformats.org/officeDocument/2006/relationships/hyperlink" Target="https://www.law.cornell.edu/definitions/index.php?width=840&amp;height=800&amp;iframe=true&amp;def_id=8610af0a0c40548a235bdf6819274ffe&amp;term_occur=3&amp;term_src=Title:41:Subtitle:B:Chapter:60:Part:60:Subpart:A:60-1.4"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5b96bf2d28212a796b7f1f2480508d42&amp;term_occur=21&amp;term_src=Title:41:Subtitle:B:Chapter:60:Part:60:Subpart:A:60-1.4" TargetMode="External"/><Relationship Id="rId24" Type="http://schemas.openxmlformats.org/officeDocument/2006/relationships/hyperlink" Target="https://www.law.cornell.edu/definitions/index.php?width=840&amp;height=800&amp;iframe=true&amp;def_id=1f285b58d2a67bcca1febc6dae05ffde&amp;term_occur=5&amp;term_src=Title:41:Subtitle:B:Chapter:60:Part:60:Subpart:A:60-1.4" TargetMode="External"/><Relationship Id="rId32" Type="http://schemas.openxmlformats.org/officeDocument/2006/relationships/hyperlink" Target="https://www.law.cornell.edu/definitions/index.php?width=840&amp;height=800&amp;iframe=true&amp;def_id=52d7ec308d42ec758489d8d7160e6904&amp;term_occur=21&amp;term_src=Title:41:Subtitle:B:Chapter:60:Part:60:Subpart:A:60-1.4" TargetMode="External"/><Relationship Id="rId37" Type="http://schemas.openxmlformats.org/officeDocument/2006/relationships/hyperlink" Target="https://www.law.cornell.edu/definitions/index.php?width=840&amp;height=800&amp;iframe=true&amp;def_id=52d7ec308d42ec758489d8d7160e6904&amp;term_occur=22&amp;term_src=Title:41:Subtitle:B:Chapter:60:Part:60:Subpart:A:60-1.4" TargetMode="External"/><Relationship Id="rId40" Type="http://schemas.openxmlformats.org/officeDocument/2006/relationships/hyperlink" Target="https://www.law.cornell.edu/definitions/index.php?width=840&amp;height=800&amp;iframe=true&amp;def_id=6b2f0ff77e0e4c42c57db352b3fac4da&amp;term_occur=26&amp;term_src=Title:41:Subtitle:B:Chapter:60:Part:60:Subpart:A:60-1.4" TargetMode="External"/><Relationship Id="rId45" Type="http://schemas.openxmlformats.org/officeDocument/2006/relationships/hyperlink" Target="https://www.law.cornell.edu/definitions/index.php?width=840&amp;height=800&amp;iframe=true&amp;def_id=ce1c35ff48c17ac2cafd62d789ead6bf&amp;term_occur=10&amp;term_src=Title:41:Subtitle:B:Chapter:60:Part:60:Subpart:A:60-1.4" TargetMode="External"/><Relationship Id="rId53" Type="http://schemas.openxmlformats.org/officeDocument/2006/relationships/hyperlink" Target="https://www.law.cornell.edu/definitions/index.php?width=840&amp;height=800&amp;iframe=true&amp;def_id=1e1827f693d35e8bbac85ac5645e9bde&amp;term_occur=4&amp;term_src=Title:41:Subtitle:B:Chapter:60:Part:60:Subpart:A:60-1.4" TargetMode="External"/><Relationship Id="rId58" Type="http://schemas.openxmlformats.org/officeDocument/2006/relationships/hyperlink" Target="https://www.law.cornell.edu/definitions/index.php?width=840&amp;height=800&amp;iframe=true&amp;def_id=af5a536fa6859c5df4775a27506f84b3&amp;term_occur=13&amp;term_src=Title:41:Subtitle:B:Chapter:60:Part:60:Subpart:A:60-1.4" TargetMode="Externa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1f285b58d2a67bcca1febc6dae05ffde&amp;term_occur=4&amp;term_src=Title:41:Subtitle:B:Chapter:60:Part:60:Subpart:A:60-1.4" TargetMode="External"/><Relationship Id="rId23" Type="http://schemas.openxmlformats.org/officeDocument/2006/relationships/hyperlink" Target="https://www.law.cornell.edu/definitions/index.php?width=840&amp;height=800&amp;iframe=true&amp;def_id=52d7ec308d42ec758489d8d7160e6904&amp;term_occur=18&amp;term_src=Title:41:Subtitle:B:Chapter:60:Part:60:Subpart:A:60-1.4" TargetMode="External"/><Relationship Id="rId28" Type="http://schemas.openxmlformats.org/officeDocument/2006/relationships/hyperlink" Target="https://www.law.cornell.edu/definitions/index.php?width=840&amp;height=800&amp;iframe=true&amp;def_id=52d7ec308d42ec758489d8d7160e6904&amp;term_occur=20&amp;term_src=Title:41:Subtitle:B:Chapter:60:Part:60:Subpart:A:60-1.4" TargetMode="External"/><Relationship Id="rId36" Type="http://schemas.openxmlformats.org/officeDocument/2006/relationships/hyperlink" Target="https://www.law.cornell.edu/definitions/index.php?width=840&amp;height=800&amp;iframe=true&amp;def_id=6b2f0ff77e0e4c42c57db352b3fac4da&amp;term_occur=25&amp;term_src=Title:41:Subtitle:B:Chapter:60:Part:60:Subpart:A:60-1.4" TargetMode="External"/><Relationship Id="rId49" Type="http://schemas.openxmlformats.org/officeDocument/2006/relationships/hyperlink" Target="https://www.law.cornell.edu/definitions/index.php?width=840&amp;height=800&amp;iframe=true&amp;def_id=e128d839d896aa68e1b8a5191e3086e2&amp;term_occur=3&amp;term_src=Title:41:Subtitle:B:Chapter:60:Part:60:Subpart:A:60-1.4" TargetMode="External"/><Relationship Id="rId57" Type="http://schemas.openxmlformats.org/officeDocument/2006/relationships/hyperlink" Target="https://www.law.cornell.edu/definitions/index.php?width=840&amp;height=800&amp;iframe=true&amp;def_id=3bf14512389a389c432a14db89798c18&amp;term_occur=2&amp;term_src=Title:41:Subtitle:B:Chapter:60:Part:60:Subpart:A:60-1.4" TargetMode="External"/><Relationship Id="rId61" Type="http://schemas.openxmlformats.org/officeDocument/2006/relationships/footer" Target="footer1.xml"/><Relationship Id="rId10" Type="http://schemas.openxmlformats.org/officeDocument/2006/relationships/hyperlink" Target="https://www.law.cornell.edu/definitions/index.php?width=840&amp;height=800&amp;iframe=true&amp;def_id=52d7ec308d42ec758489d8d7160e6904&amp;term_occur=13&amp;term_src=Title:41:Subtitle:B:Chapter:60:Part:60:Subpart:A:60-1.4" TargetMode="External"/><Relationship Id="rId19" Type="http://schemas.openxmlformats.org/officeDocument/2006/relationships/hyperlink" Target="https://www.law.cornell.edu/definitions/index.php?width=840&amp;height=800&amp;iframe=true&amp;def_id=52d7ec308d42ec758489d8d7160e6904&amp;term_occur=16&amp;term_src=Title:41:Subtitle:B:Chapter:60:Part:60:Subpart:A:60-1.4" TargetMode="External"/><Relationship Id="rId31" Type="http://schemas.openxmlformats.org/officeDocument/2006/relationships/hyperlink" Target="https://www.law.cornell.edu/definitions/index.php?width=840&amp;height=800&amp;iframe=true&amp;def_id=6b2f0ff77e0e4c42c57db352b3fac4da&amp;term_occur=24&amp;term_src=Title:41:Subtitle:B:Chapter:60:Part:60:Subpart:A:60-1.4" TargetMode="External"/><Relationship Id="rId44" Type="http://schemas.openxmlformats.org/officeDocument/2006/relationships/hyperlink" Target="https://www.law.cornell.edu/definitions/index.php?width=840&amp;height=800&amp;iframe=true&amp;def_id=1e1827f693d35e8bbac85ac5645e9bde&amp;term_occur=2&amp;term_src=Title:41:Subtitle:B:Chapter:60:Part:60:Subpart:A:60-1.4" TargetMode="External"/><Relationship Id="rId52" Type="http://schemas.openxmlformats.org/officeDocument/2006/relationships/hyperlink" Target="https://www.law.cornell.edu/definitions/index.php?width=840&amp;height=800&amp;iframe=true&amp;def_id=e128d839d896aa68e1b8a5191e3086e2&amp;term_occur=4&amp;term_src=Title:41:Subtitle:B:Chapter:60:Part:60:Subpart:A:60-1.4" TargetMode="External"/><Relationship Id="rId60" Type="http://schemas.openxmlformats.org/officeDocument/2006/relationships/hyperlink" Target="https://www.law.cornell.edu/definitions/index.php?width=840&amp;height=800&amp;iframe=true&amp;def_id=ce1c35ff48c17ac2cafd62d789ead6bf&amp;term_occur=11&amp;term_src=Title:41:Subtitle:B:Chapter:60:Part:60:Subpart:A:60-1.4" TargetMode="External"/><Relationship Id="rId4" Type="http://schemas.openxmlformats.org/officeDocument/2006/relationships/settings" Target="settings.xml"/><Relationship Id="rId9" Type="http://schemas.openxmlformats.org/officeDocument/2006/relationships/hyperlink" Target="https://www.law.cornell.edu/definitions/index.php?width=840&amp;height=800&amp;iframe=true&amp;def_id=6b2f0ff77e0e4c42c57db352b3fac4da&amp;term_occur=14&amp;term_src=Title:41:Subtitle:B:Chapter:60:Part:60:Subpart:A:60-1.4" TargetMode="External"/><Relationship Id="rId14" Type="http://schemas.openxmlformats.org/officeDocument/2006/relationships/hyperlink" Target="https://www.law.cornell.edu/definitions/index.php?width=840&amp;height=800&amp;iframe=true&amp;def_id=d7bff8a94a2c96bcc7caee85e9ed480c&amp;term_occur=2&amp;term_src=Title:41:Subtitle:B:Chapter:60:Part:60:Subpart:A:60-1.4" TargetMode="External"/><Relationship Id="rId22" Type="http://schemas.openxmlformats.org/officeDocument/2006/relationships/hyperlink" Target="https://www.law.cornell.edu/definitions/index.php?width=840&amp;height=800&amp;iframe=true&amp;def_id=6b2f0ff77e0e4c42c57db352b3fac4da&amp;term_occur=19&amp;term_src=Title:41:Subtitle:B:Chapter:60:Part:60:Subpart:A:60-1.4" TargetMode="External"/><Relationship Id="rId27" Type="http://schemas.openxmlformats.org/officeDocument/2006/relationships/hyperlink" Target="https://www.law.cornell.edu/definitions/index.php?width=840&amp;height=800&amp;iframe=true&amp;def_id=6b2f0ff77e0e4c42c57db352b3fac4da&amp;term_occur=21&amp;term_src=Title:41:Subtitle:B:Chapter:60:Part:60:Subpart:A:60-1.4" TargetMode="External"/><Relationship Id="rId30" Type="http://schemas.openxmlformats.org/officeDocument/2006/relationships/hyperlink" Target="https://www.law.cornell.edu/definitions/index.php?width=840&amp;height=800&amp;iframe=true&amp;def_id=e06e0c8f64e2468c13e0c2673c448502&amp;term_occur=2&amp;term_src=Title:41:Subtitle:B:Chapter:60:Part:60:Subpart:A:60-1.4" TargetMode="External"/><Relationship Id="rId35" Type="http://schemas.openxmlformats.org/officeDocument/2006/relationships/hyperlink" Target="https://www.law.cornell.edu/definitions/index.php?width=840&amp;height=800&amp;iframe=true&amp;def_id=1f285b58d2a67bcca1febc6dae05ffde&amp;term_occur=6&amp;term_src=Title:41:Subtitle:B:Chapter:60:Part:60:Subpart:A:60-1.4" TargetMode="External"/><Relationship Id="rId43" Type="http://schemas.openxmlformats.org/officeDocument/2006/relationships/hyperlink" Target="https://www.law.cornell.edu/definitions/index.php?width=840&amp;height=800&amp;iframe=true&amp;def_id=ce1c35ff48c17ac2cafd62d789ead6bf&amp;term_occur=8&amp;term_src=Title:41:Subtitle:B:Chapter:60:Part:60:Subpart:A:60-1.4" TargetMode="External"/><Relationship Id="rId48" Type="http://schemas.openxmlformats.org/officeDocument/2006/relationships/hyperlink" Target="https://www.law.cornell.edu/cfr/text/41/60-1.4" TargetMode="External"/><Relationship Id="rId56" Type="http://schemas.openxmlformats.org/officeDocument/2006/relationships/hyperlink" Target="https://www.law.cornell.edu/definitions/index.php?width=840&amp;height=800&amp;iframe=true&amp;def_id=ccd2907eea50a246e7dd89f568c8a042&amp;term_occur=3&amp;term_src=Title:41:Subtitle:B:Chapter:60:Part:60:Subpart:A:60-1.4"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law.cornell.edu/definitions/index.php?width=840&amp;height=800&amp;iframe=true&amp;def_id=1e1827f693d35e8bbac85ac5645e9bde&amp;term_occur=3&amp;term_src=Title:41:Subtitle:B:Chapter:60:Part:60:Subpart:A:60-1.4" TargetMode="External"/><Relationship Id="rId3" Type="http://schemas.openxmlformats.org/officeDocument/2006/relationships/styles" Target="styles.xml"/><Relationship Id="rId12" Type="http://schemas.openxmlformats.org/officeDocument/2006/relationships/hyperlink" Target="https://www.law.cornell.edu/definitions/index.php?width=840&amp;height=800&amp;iframe=true&amp;def_id=52d7ec308d42ec758489d8d7160e6904&amp;term_occur=14&amp;term_src=Title:41:Subtitle:B:Chapter:60:Part:60:Subpart:A:60-1.4" TargetMode="External"/><Relationship Id="rId17" Type="http://schemas.openxmlformats.org/officeDocument/2006/relationships/hyperlink" Target="https://www.law.cornell.edu/definitions/index.php?width=840&amp;height=800&amp;iframe=true&amp;def_id=52d7ec308d42ec758489d8d7160e6904&amp;term_occur=15&amp;term_src=Title:41:Subtitle:B:Chapter:60:Part:60:Subpart:A:60-1.4" TargetMode="External"/><Relationship Id="rId25" Type="http://schemas.openxmlformats.org/officeDocument/2006/relationships/hyperlink" Target="https://www.law.cornell.edu/definitions/index.php?width=840&amp;height=800&amp;iframe=true&amp;def_id=6b2f0ff77e0e4c42c57db352b3fac4da&amp;term_occur=20&amp;term_src=Title:41:Subtitle:B:Chapter:60:Part:60:Subpart:A:60-1.4" TargetMode="External"/><Relationship Id="rId33" Type="http://schemas.openxmlformats.org/officeDocument/2006/relationships/hyperlink" Target="https://www.law.cornell.edu/definitions/index.php?width=840&amp;height=800&amp;iframe=true&amp;def_id=6b2f0ff77e0e4c42c57db352b3fac4da&amp;term_occur=23&amp;term_src=Title:41:Subtitle:B:Chapter:60:Part:60:Subpart:A:60-1.4" TargetMode="External"/><Relationship Id="rId38" Type="http://schemas.openxmlformats.org/officeDocument/2006/relationships/hyperlink" Target="https://www.law.cornell.edu/definitions/index.php?width=840&amp;height=800&amp;iframe=true&amp;def_id=ea13a40cac92453bd38db888e739eb48&amp;term_occur=2&amp;term_src=Title:41:Subtitle:B:Chapter:60:Part:60:Subpart:A:60-1.4" TargetMode="External"/><Relationship Id="rId46" Type="http://schemas.openxmlformats.org/officeDocument/2006/relationships/hyperlink" Target="https://www.law.cornell.edu/definitions/index.php?width=840&amp;height=800&amp;iframe=true&amp;def_id=25f3fba02cf994652e59fa4ddcbb6f1c&amp;term_occur=3&amp;term_src=Title:41:Subtitle:B:Chapter:60:Part:60:Subpart:A:60-1.4" TargetMode="External"/><Relationship Id="rId59" Type="http://schemas.openxmlformats.org/officeDocument/2006/relationships/hyperlink" Target="https://www.law.cornell.edu/cfr/text/41/6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C1996-5964-4810-BD42-BE392BF9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 Craig</dc:creator>
  <cp:lastModifiedBy>Erica Kreger</cp:lastModifiedBy>
  <cp:revision>2</cp:revision>
  <cp:lastPrinted>2017-10-19T18:11:00Z</cp:lastPrinted>
  <dcterms:created xsi:type="dcterms:W3CDTF">2019-05-21T16:23:00Z</dcterms:created>
  <dcterms:modified xsi:type="dcterms:W3CDTF">2019-05-21T16:23:00Z</dcterms:modified>
</cp:coreProperties>
</file>